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3.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pacing w:lineRule="auto" w:line="480"/>
        <w:ind w:left="720" w:hanging="720"/>
        <w:rPr>
          <w:b/>
          <w:b/>
        </w:rPr>
      </w:pPr>
      <w:bookmarkStart w:id="0" w:name="_GoBack"/>
      <w:bookmarkEnd w:id="0"/>
      <w:r>
        <w:rPr>
          <w:b/>
        </w:rPr>
        <w:t>APPENDIX 1</w:t>
      </w:r>
    </w:p>
    <w:p>
      <w:pPr>
        <w:pStyle w:val="Normal"/>
        <w:rPr>
          <w:rFonts w:eastAsia="Times New Roman" w:cs="Times New Roman"/>
          <w:b/>
          <w:b/>
          <w:bCs/>
        </w:rPr>
      </w:pPr>
      <w:r>
        <w:rPr>
          <w:rFonts w:eastAsia="Times New Roman" w:cs="Times New Roman"/>
          <w:b/>
          <w:bCs/>
        </w:rPr>
        <w:t>Contrasting assignment of migratory organisms to geographic origins using long-term versus year-specific precipitation isotope maps</w:t>
      </w:r>
    </w:p>
    <w:p>
      <w:pPr>
        <w:pStyle w:val="Normal"/>
        <w:rPr>
          <w:rFonts w:eastAsia="Times New Roman" w:cs="Times New Roman"/>
          <w:b/>
          <w:b/>
          <w:bCs/>
        </w:rPr>
      </w:pPr>
      <w:r>
        <w:rPr>
          <w:rFonts w:eastAsia="Times New Roman" w:cs="Times New Roman"/>
          <w:b/>
          <w:bCs/>
        </w:rPr>
      </w:r>
    </w:p>
    <w:p>
      <w:pPr>
        <w:pStyle w:val="Normal"/>
        <w:rPr>
          <w:b/>
          <w:b/>
        </w:rPr>
      </w:pPr>
      <w:r>
        <w:rPr>
          <w:rFonts w:eastAsia="Times New Roman" w:cs="Times New Roman"/>
        </w:rPr>
        <w:t xml:space="preserve">Vander Zanden, H.B., Wunder, M.B., Hobson, K.A., Van Wilgenburg, S.L., Wassenaar, L.I., Welker, J.M., and Bowen, G.J. </w:t>
      </w:r>
    </w:p>
    <w:p>
      <w:pPr>
        <w:pStyle w:val="Normal"/>
        <w:widowControl w:val="false"/>
        <w:spacing w:lineRule="auto" w:line="480"/>
        <w:rPr>
          <w:b/>
          <w:b/>
        </w:rPr>
      </w:pPr>
      <w:r>
        <w:rPr>
          <w:b/>
        </w:rPr>
      </w:r>
    </w:p>
    <w:p>
      <w:pPr>
        <w:pStyle w:val="Normal"/>
        <w:widowControl w:val="false"/>
        <w:spacing w:lineRule="auto" w:line="480"/>
        <w:rPr>
          <w:b/>
          <w:b/>
        </w:rPr>
      </w:pPr>
      <w:r>
        <w:rPr>
          <w:b/>
        </w:rPr>
        <w:t>Materials and methods</w:t>
      </w:r>
    </w:p>
    <w:p>
      <w:pPr>
        <w:pStyle w:val="Normal"/>
        <w:widowControl w:val="false"/>
        <w:spacing w:lineRule="auto" w:line="480"/>
        <w:rPr>
          <w:i/>
          <w:i/>
        </w:rPr>
      </w:pPr>
      <w:r>
        <w:rPr>
          <w:i/>
        </w:rPr>
        <w:t xml:space="preserve">Case studies </w:t>
      </w:r>
    </w:p>
    <w:p>
      <w:pPr>
        <w:pStyle w:val="Normal"/>
        <w:widowControl w:val="false"/>
        <w:spacing w:lineRule="auto" w:line="480"/>
        <w:rPr>
          <w:i/>
          <w:i/>
        </w:rPr>
      </w:pPr>
      <w:r>
        <w:rPr>
          <w:i/>
        </w:rPr>
        <w:tab/>
      </w:r>
      <w:r>
        <w:rPr/>
        <w:t xml:space="preserve">Some sites from the original monarch butterfly and reed warbler datasets were not included in this study.  The original monarch dataset included individuals from 6 sites in Canada, but we restricted the dataset to the sites within the continental United States in order to use the high spatial resolution PRISIM temperature data (PRISM Climate Group 2010) as a covariate in creating the isoscapes, as these data were only available for the contiguous United States.  One of the sites in the original warbler dataset was not included in the analyses and was considered an outlier (Lake Constance, Germany) because these birds nested along water that was exceptionally depleted in </w:t>
      </w:r>
      <w:r>
        <w:rPr>
          <w:vertAlign w:val="superscript"/>
        </w:rPr>
        <w:t>2</w:t>
      </w:r>
      <w:r>
        <w:rPr/>
        <w:t xml:space="preserve">H from Alpine snowmelt rather than rainfall </w:t>
      </w:r>
      <w:r>
        <w:rPr>
          <w:rFonts w:cs="Times New Roman"/>
        </w:rPr>
        <w:t xml:space="preserve">(Procházka </w:t>
      </w:r>
      <w:r>
        <w:rPr>
          <w:rFonts w:cs="Times New Roman"/>
          <w:i/>
          <w:iCs/>
        </w:rPr>
        <w:t>et al.</w:t>
      </w:r>
      <w:r>
        <w:rPr>
          <w:rFonts w:cs="Times New Roman"/>
        </w:rPr>
        <w:t xml:space="preserve"> 2013)</w:t>
      </w:r>
      <w:r>
        <w:rPr/>
        <w:t xml:space="preserve">.  </w:t>
      </w:r>
    </w:p>
    <w:p>
      <w:pPr>
        <w:pStyle w:val="Normal"/>
        <w:widowControl w:val="false"/>
        <w:spacing w:lineRule="auto" w:line="480"/>
        <w:rPr>
          <w:i/>
          <w:i/>
        </w:rPr>
      </w:pPr>
      <w:r>
        <w:rPr>
          <w:i/>
        </w:rPr>
      </w:r>
    </w:p>
    <w:p>
      <w:pPr>
        <w:pStyle w:val="Normal"/>
        <w:widowControl w:val="false"/>
        <w:spacing w:lineRule="auto" w:line="480"/>
        <w:rPr>
          <w:i/>
          <w:i/>
        </w:rPr>
      </w:pPr>
      <w:r>
        <w:rPr>
          <w:i/>
        </w:rPr>
        <w:t>Isoscape mapping</w:t>
      </w:r>
    </w:p>
    <w:p>
      <w:pPr>
        <w:pStyle w:val="Normal"/>
        <w:widowControl w:val="false"/>
        <w:spacing w:lineRule="auto" w:line="480"/>
        <w:ind w:firstLine="720"/>
        <w:rPr>
          <w:rFonts w:cs="Times New Roman"/>
        </w:rPr>
      </w:pPr>
      <w:r>
        <w:rPr>
          <w:rFonts w:cs="Times New Roman"/>
        </w:rPr>
        <w:t xml:space="preserve">Long-term mean annual precipitation isoscapes have been widely used as a result of two limitations in predicting </w:t>
      </w:r>
      <w:r>
        <w:rPr>
          <w:i/>
        </w:rPr>
        <w:t>δ</w:t>
      </w:r>
      <w:r>
        <w:rPr>
          <w:vertAlign w:val="superscript"/>
        </w:rPr>
        <w:t>2</w:t>
      </w:r>
      <w:r>
        <w:rPr/>
        <w:t>H</w:t>
      </w:r>
      <w:r>
        <w:rPr>
          <w:vertAlign w:val="subscript"/>
        </w:rPr>
        <w:t>p</w:t>
      </w:r>
      <w:r>
        <w:rPr>
          <w:rFonts w:cs="Times New Roman"/>
        </w:rPr>
        <w:t xml:space="preserve"> values for more specific short-term time frames.  First, </w:t>
      </w:r>
      <w:r>
        <w:rPr>
          <w:rFonts w:cs="Times New Roman"/>
          <w:i/>
        </w:rPr>
        <w:t>δ</w:t>
      </w:r>
      <w:r>
        <w:rPr>
          <w:vertAlign w:val="superscript"/>
        </w:rPr>
        <w:t>2</w:t>
      </w:r>
      <w:r>
        <w:rPr/>
        <w:t>H</w:t>
      </w:r>
      <w:r>
        <w:rPr>
          <w:vertAlign w:val="subscript"/>
        </w:rPr>
        <w:t>p</w:t>
      </w:r>
      <w:r>
        <w:rPr/>
        <w:t xml:space="preserve"> values in the primary data sources such as GNIP </w:t>
      </w:r>
      <w:r>
        <w:rPr>
          <w:rFonts w:cs="Times New Roman"/>
        </w:rPr>
        <w:t xml:space="preserve">are discontinuous both in space and time, as </w:t>
      </w:r>
      <w:r>
        <w:rPr>
          <w:i/>
        </w:rPr>
        <w:t>δ</w:t>
      </w:r>
      <w:r>
        <w:rPr>
          <w:vertAlign w:val="superscript"/>
        </w:rPr>
        <w:t>2</w:t>
      </w:r>
      <w:r>
        <w:rPr/>
        <w:t>H</w:t>
      </w:r>
      <w:r>
        <w:rPr>
          <w:vertAlign w:val="subscript"/>
        </w:rPr>
        <w:t>p</w:t>
      </w:r>
      <w:r>
        <w:rPr/>
        <w:t xml:space="preserve"> </w:t>
      </w:r>
      <w:r>
        <w:rPr>
          <w:rFonts w:cs="Times New Roman"/>
        </w:rPr>
        <w:t xml:space="preserve">data are not available for all years and months at all sampling localities (Bowen 2010).  Second, the computational effort associated with producing, distributing, and updating time-specific isoscapes was previously prohibitive, but new tools such as the IsoMAP online workspace (Bowen </w:t>
      </w:r>
      <w:r>
        <w:rPr>
          <w:rFonts w:cs="Times New Roman"/>
          <w:i/>
          <w:iCs/>
        </w:rPr>
        <w:t>et al.</w:t>
      </w:r>
      <w:r>
        <w:rPr>
          <w:rFonts w:cs="Times New Roman"/>
        </w:rPr>
        <w:t xml:space="preserve"> 2012) allow users to create customized isoscapes to predict the stable isotope ratio distributions of precipitation for specific regions and time periods of interest (Bowen </w:t>
      </w:r>
      <w:r>
        <w:rPr>
          <w:rFonts w:cs="Times New Roman"/>
          <w:i/>
          <w:iCs/>
        </w:rPr>
        <w:t>et al.</w:t>
      </w:r>
      <w:r>
        <w:rPr>
          <w:rFonts w:cs="Times New Roman"/>
        </w:rPr>
        <w:t xml:space="preserve"> 2014). </w:t>
      </w:r>
    </w:p>
    <w:p>
      <w:pPr>
        <w:pStyle w:val="Normal"/>
        <w:widowControl w:val="false"/>
        <w:spacing w:lineRule="auto" w:line="480"/>
        <w:ind w:firstLine="720"/>
        <w:rPr/>
      </w:pPr>
      <w:r>
        <w:rPr/>
        <w:t xml:space="preserve">We used IsoMAP to develop </w:t>
      </w:r>
      <w:r>
        <w:rPr>
          <w:i/>
        </w:rPr>
        <w:t>δ</w:t>
      </w:r>
      <w:r>
        <w:rPr>
          <w:vertAlign w:val="superscript"/>
        </w:rPr>
        <w:t>2</w:t>
      </w:r>
      <w:r>
        <w:rPr/>
        <w:t>H</w:t>
      </w:r>
      <w:r>
        <w:rPr>
          <w:vertAlign w:val="subscript"/>
        </w:rPr>
        <w:t>p</w:t>
      </w:r>
      <w:r>
        <w:rPr/>
        <w:t xml:space="preserve"> isoscapes for each time period relevant to our datasets.  The following model covariates were included in the regression models: elevation, latitude, longitude, monthly amount of precipitation (measured at each station), and monthly minimum temperature (from PRISM Climate Group) (U.S. National Geophysical Data Center 1998; Welker 2000; Mitchell &amp; Jones 2005; PRISM Climate Group 2010; IAEA/WMO 2011).  The isotopic composition of precipitation generally covaries</w:t>
      </w:r>
      <w:r>
        <w:rPr>
          <w:rFonts w:cs="Times New Roman"/>
          <w:color w:val="000000"/>
        </w:rPr>
        <w:t xml:space="preserve"> with latitude and altitude, primarily due to temperature-driven distillation of the heavy water isotopes from air masses as they move to cooler, higher latitudes, as well as the total amount of precipitation (Dansgaard 1964; Rozanski </w:t>
      </w:r>
      <w:r>
        <w:rPr>
          <w:rFonts w:cs="Times New Roman"/>
          <w:iCs/>
          <w:color w:val="000000"/>
        </w:rPr>
        <w:t>Araguás-Araguás &amp; Gonfiantini</w:t>
      </w:r>
      <w:r>
        <w:rPr>
          <w:rFonts w:cs="Times New Roman"/>
          <w:color w:val="000000"/>
        </w:rPr>
        <w:t xml:space="preserve"> 1993; Bowen &amp; Wilkinson 2002).  For this reason, these environmental variables were included in addition to longitude. </w:t>
      </w:r>
    </w:p>
    <w:p>
      <w:pPr>
        <w:pStyle w:val="Normal"/>
        <w:widowControl w:val="false"/>
        <w:spacing w:lineRule="auto" w:line="480"/>
        <w:ind w:firstLine="720"/>
        <w:rPr/>
      </w:pPr>
      <w:r>
        <w:rPr/>
        <w:t xml:space="preserve">In the process of developing precipitation models in IsoMAP, a standard regression model is created that incorporates the independent variables that are selected by the user to predict </w:t>
      </w:r>
      <w:r>
        <w:rPr>
          <w:i/>
        </w:rPr>
        <w:t>δ</w:t>
      </w:r>
      <w:r>
        <w:rPr>
          <w:vertAlign w:val="superscript"/>
        </w:rPr>
        <w:t>2</w:t>
      </w:r>
      <w:r>
        <w:rPr/>
        <w:t>H</w:t>
      </w:r>
      <w:r>
        <w:rPr>
          <w:vertAlign w:val="subscript"/>
        </w:rPr>
        <w:t>p</w:t>
      </w:r>
      <w:r>
        <w:rPr/>
        <w:t xml:space="preserve"> values across the landscape.  When significant spatial autocorrelation in the regression model residuals is detected, IsoMAP generates a geostatistical model (in addition to the standard regression model) to incorporate spatial correlation within the datasets.  In the long-term models, both a standard multiple regression model as well as a geostatistical model were generated.  Significant spatial autocorrelation was not detected in the shorter time periods, thus geostatistical models were not produced.  For this reason, only the isoscapes generated from the regression models were used for both the short- and long-term time frames.  The </w:t>
      </w:r>
      <w:r>
        <w:rPr>
          <w:i/>
        </w:rPr>
        <w:t>δ</w:t>
      </w:r>
      <w:r>
        <w:rPr>
          <w:vertAlign w:val="superscript"/>
        </w:rPr>
        <w:t>2</w:t>
      </w:r>
      <w:r>
        <w:rPr/>
        <w:t>H</w:t>
      </w:r>
      <w:r>
        <w:rPr>
          <w:vertAlign w:val="subscript"/>
        </w:rPr>
        <w:t>p</w:t>
      </w:r>
      <w:r>
        <w:rPr/>
        <w:t xml:space="preserve"> isoscapes created for this study are depicted in Fig. S1 and are also available on www.isomap.org (see Table 1).  </w:t>
      </w:r>
    </w:p>
    <w:p>
      <w:pPr>
        <w:pStyle w:val="Normal"/>
        <w:widowControl w:val="false"/>
        <w:spacing w:lineRule="auto" w:line="480"/>
        <w:rPr>
          <w:i/>
          <w:i/>
        </w:rPr>
      </w:pPr>
      <w:r>
        <w:rPr>
          <w:i/>
        </w:rPr>
      </w:r>
    </w:p>
    <w:p>
      <w:pPr>
        <w:pStyle w:val="Normal"/>
        <w:widowControl w:val="false"/>
        <w:spacing w:lineRule="auto" w:line="480"/>
        <w:rPr/>
      </w:pPr>
      <w:r>
        <w:rPr>
          <w:i/>
        </w:rPr>
        <w:t>Mean rescaling functions</w:t>
      </w:r>
    </w:p>
    <w:p>
      <w:pPr>
        <w:pStyle w:val="Normal"/>
        <w:widowControl w:val="false"/>
        <w:spacing w:lineRule="auto" w:line="480"/>
        <w:rPr/>
      </w:pPr>
      <w:r>
        <w:rPr/>
        <w:tab/>
        <w:t xml:space="preserve">For each of the 1000 simulated regressions, </w:t>
      </w:r>
      <w:r>
        <w:rPr>
          <w:rFonts w:cs="Times New Roman"/>
          <w:i/>
        </w:rPr>
        <w:t>δ</w:t>
      </w:r>
      <w:r>
        <w:rPr>
          <w:vertAlign w:val="superscript"/>
        </w:rPr>
        <w:t>2</w:t>
      </w:r>
      <w:r>
        <w:rPr/>
        <w:t>H</w:t>
      </w:r>
      <w:r>
        <w:rPr>
          <w:vertAlign w:val="subscript"/>
        </w:rPr>
        <w:t>tissue</w:t>
      </w:r>
      <w:r>
        <w:rPr/>
        <w:t xml:space="preserve"> and </w:t>
      </w:r>
      <w:r>
        <w:rPr>
          <w:rFonts w:cs="Times New Roman"/>
          <w:i/>
        </w:rPr>
        <w:t>δ</w:t>
      </w:r>
      <w:r>
        <w:rPr>
          <w:vertAlign w:val="superscript"/>
        </w:rPr>
        <w:t>2</w:t>
      </w:r>
      <w:r>
        <w:rPr/>
        <w:t>H</w:t>
      </w:r>
      <w:r>
        <w:rPr>
          <w:vertAlign w:val="subscript"/>
        </w:rPr>
        <w:t>p</w:t>
      </w:r>
      <w:r>
        <w:rPr/>
        <w:t xml:space="preserve"> values were randomly drawn from a normal distribution using the site isotopic mean and SD values.  The number of data points that were generated for each site corresponded to the number of monarch butterflies (n = 1-6) or reed warblers (n = 3-20) sampled at that site to maintain the total number of individual samples constant in each regression.  The mean and SD </w:t>
      </w:r>
      <w:r>
        <w:rPr>
          <w:rFonts w:cs="Times New Roman"/>
          <w:i/>
        </w:rPr>
        <w:t>δ</w:t>
      </w:r>
      <w:r>
        <w:rPr>
          <w:vertAlign w:val="superscript"/>
        </w:rPr>
        <w:t>2</w:t>
      </w:r>
      <w:r>
        <w:rPr/>
        <w:t>H</w:t>
      </w:r>
      <w:r>
        <w:rPr>
          <w:vertAlign w:val="subscript"/>
        </w:rPr>
        <w:t>p</w:t>
      </w:r>
      <w:r>
        <w:rPr/>
        <w:t xml:space="preserve"> values for the warbler sites were determined for the year corresponding to the date on which birds were sampled at that site.  The mean regression parameters from the 1000 regressions were used to generate a linear equation to transform the </w:t>
      </w:r>
      <w:r>
        <w:rPr>
          <w:rFonts w:cs="Times New Roman"/>
          <w:i/>
        </w:rPr>
        <w:t>δ</w:t>
      </w:r>
      <w:r>
        <w:rPr>
          <w:vertAlign w:val="superscript"/>
        </w:rPr>
        <w:t>2</w:t>
      </w:r>
      <w:r>
        <w:rPr/>
        <w:t>H</w:t>
      </w:r>
      <w:r>
        <w:rPr>
          <w:vertAlign w:val="subscript"/>
        </w:rPr>
        <w:t>p</w:t>
      </w:r>
      <w:r>
        <w:rPr/>
        <w:t xml:space="preserve"> isoscape to one reflecting the animal </w:t>
      </w:r>
      <w:r>
        <w:rPr>
          <w:rFonts w:cs="Times New Roman"/>
          <w:i/>
        </w:rPr>
        <w:t>δ</w:t>
      </w:r>
      <w:r>
        <w:rPr/>
        <w:t>2H</w:t>
      </w:r>
      <w:r>
        <w:rPr>
          <w:vertAlign w:val="subscript"/>
        </w:rPr>
        <w:t>tissue</w:t>
      </w:r>
      <w:r>
        <w:rPr/>
        <w:t xml:space="preserve"> values.  Therefore, a single rescaling function was generated for each species such that </w:t>
      </w:r>
      <w:r>
        <w:rPr>
          <w:rFonts w:cs="Times New Roman"/>
          <w:i/>
        </w:rPr>
        <w:t>δ</w:t>
      </w:r>
      <w:r>
        <w:rPr>
          <w:vertAlign w:val="superscript"/>
        </w:rPr>
        <w:t>2</w:t>
      </w:r>
      <w:r>
        <w:rPr/>
        <w:t>H</w:t>
      </w:r>
      <w:r>
        <w:rPr>
          <w:vertAlign w:val="subscript"/>
        </w:rPr>
        <w:t>p</w:t>
      </w:r>
      <w:r>
        <w:rPr/>
        <w:t xml:space="preserve"> values from 1996 were included in the monarch butterfly equation while </w:t>
      </w:r>
      <w:r>
        <w:rPr>
          <w:rFonts w:cs="Times New Roman"/>
          <w:i/>
        </w:rPr>
        <w:t>δ</w:t>
      </w:r>
      <w:r>
        <w:rPr>
          <w:vertAlign w:val="superscript"/>
        </w:rPr>
        <w:t>2</w:t>
      </w:r>
      <w:r>
        <w:rPr/>
        <w:t>H</w:t>
      </w:r>
      <w:r>
        <w:rPr>
          <w:vertAlign w:val="subscript"/>
        </w:rPr>
        <w:t>p</w:t>
      </w:r>
      <w:r>
        <w:rPr/>
        <w:t xml:space="preserve"> values from all three years between 2004-2006 were included in the reed warbler equation (Fig. S2).  These equations were used to generate a single </w:t>
      </w:r>
      <w:r>
        <w:rPr>
          <w:rFonts w:cs="Times New Roman"/>
          <w:i/>
        </w:rPr>
        <w:t>δ</w:t>
      </w:r>
      <w:r>
        <w:rPr>
          <w:vertAlign w:val="superscript"/>
        </w:rPr>
        <w:t>2</w:t>
      </w:r>
      <w:r>
        <w:rPr/>
        <w:t>H</w:t>
      </w:r>
      <w:r>
        <w:rPr>
          <w:vertAlign w:val="subscript"/>
        </w:rPr>
        <w:t>tissue</w:t>
      </w:r>
      <w:r>
        <w:rPr/>
        <w:t xml:space="preserve"> isoscape for the monarch butterflies for the year 1996, while three </w:t>
      </w:r>
      <w:r>
        <w:rPr>
          <w:rFonts w:cs="Times New Roman"/>
          <w:i/>
        </w:rPr>
        <w:t>δ</w:t>
      </w:r>
      <w:r>
        <w:rPr>
          <w:vertAlign w:val="superscript"/>
        </w:rPr>
        <w:t>2</w:t>
      </w:r>
      <w:r>
        <w:rPr/>
        <w:t>H</w:t>
      </w:r>
      <w:r>
        <w:rPr>
          <w:vertAlign w:val="subscript"/>
        </w:rPr>
        <w:t>tissue</w:t>
      </w:r>
      <w:r>
        <w:rPr/>
        <w:t xml:space="preserve"> isoscapes were generated for the reed warblers for the years 2004, 2005, and 2006 (Fig. S3).</w:t>
      </w:r>
    </w:p>
    <w:p>
      <w:pPr>
        <w:pStyle w:val="Normal"/>
        <w:widowControl w:val="false"/>
        <w:spacing w:lineRule="auto" w:line="480"/>
        <w:rPr/>
      </w:pPr>
      <w:r>
        <w:rPr/>
      </w:r>
    </w:p>
    <w:p>
      <w:pPr>
        <w:pStyle w:val="Normal"/>
        <w:widowControl w:val="false"/>
        <w:spacing w:lineRule="auto" w:line="480"/>
        <w:rPr/>
      </w:pPr>
      <w:r>
        <w:rPr>
          <w:i/>
        </w:rPr>
        <w:t>Variance estimation</w:t>
      </w:r>
    </w:p>
    <w:p>
      <w:pPr>
        <w:pStyle w:val="Normal"/>
        <w:widowControl w:val="false"/>
        <w:spacing w:lineRule="auto" w:line="480"/>
        <w:rPr/>
      </w:pPr>
      <w:r>
        <w:rPr/>
        <w:tab/>
      </w:r>
      <w:r>
        <w:rPr>
          <w:rFonts w:cs="Times New Roman"/>
        </w:rPr>
        <w:t>The rescaling variance (</w:t>
      </w:r>
      <w:r>
        <w:rPr>
          <w:rFonts w:eastAsia="Symbol" w:cs="Symbol" w:ascii="Symbol" w:hAnsi="Symbol"/>
          <w:i/>
        </w:rPr>
        <w:t></w:t>
      </w:r>
      <w:r>
        <w:rPr>
          <w:i/>
          <w:vertAlign w:val="superscript"/>
        </w:rPr>
        <w:t>2</w:t>
      </w:r>
      <w:r>
        <w:rPr>
          <w:rFonts w:cs="Times New Roman"/>
          <w:i/>
          <w:vertAlign w:val="subscript"/>
        </w:rPr>
        <w:t>rescale</w:t>
      </w:r>
      <w:r>
        <w:rPr>
          <w:rFonts w:cs="Times New Roman"/>
        </w:rPr>
        <w:t xml:space="preserve">) reflected the uncertainty in the model used to rescale </w:t>
      </w:r>
      <w:r>
        <w:rPr>
          <w:i/>
        </w:rPr>
        <w:t>δ</w:t>
      </w:r>
      <w:r>
        <w:rPr>
          <w:vertAlign w:val="superscript"/>
        </w:rPr>
        <w:t>2</w:t>
      </w:r>
      <w:r>
        <w:rPr/>
        <w:t>H</w:t>
      </w:r>
      <w:r>
        <w:rPr>
          <w:vertAlign w:val="subscript"/>
        </w:rPr>
        <w:t>p</w:t>
      </w:r>
      <w:r>
        <w:rPr>
          <w:rFonts w:cs="Times New Roman"/>
        </w:rPr>
        <w:t xml:space="preserve"> to </w:t>
      </w:r>
      <w:r>
        <w:rPr>
          <w:i/>
        </w:rPr>
        <w:t>δ</w:t>
      </w:r>
      <w:r>
        <w:rPr>
          <w:vertAlign w:val="superscript"/>
        </w:rPr>
        <w:t>2</w:t>
      </w:r>
      <w:r>
        <w:rPr/>
        <w:t>H</w:t>
      </w:r>
      <w:r>
        <w:rPr>
          <w:vertAlign w:val="subscript"/>
        </w:rPr>
        <w:t>tissue</w:t>
      </w:r>
      <w:r>
        <w:rPr>
          <w:rFonts w:cs="Times New Roman"/>
        </w:rPr>
        <w:t xml:space="preserve"> values, whereas the precipitation variance (</w:t>
      </w:r>
      <w:r>
        <w:rPr>
          <w:rFonts w:eastAsia="Symbol" w:cs="Symbol" w:ascii="Symbol" w:hAnsi="Symbol"/>
          <w:i/>
        </w:rPr>
        <w:t></w:t>
      </w:r>
      <w:r>
        <w:rPr>
          <w:i/>
          <w:vertAlign w:val="superscript"/>
        </w:rPr>
        <w:t>2</w:t>
      </w:r>
      <w:r>
        <w:rPr>
          <w:rFonts w:cs="Times New Roman"/>
          <w:i/>
          <w:vertAlign w:val="subscript"/>
        </w:rPr>
        <w:t>precip</w:t>
      </w:r>
      <w:r>
        <w:rPr>
          <w:rFonts w:cs="Times New Roman"/>
        </w:rPr>
        <w:t>) was derived from the uncertainty in isoscape model parameters across the landscape where precipitation measurements were not made.  The individual variance component (</w:t>
      </w:r>
      <w:r>
        <w:rPr>
          <w:rFonts w:eastAsia="Symbol" w:cs="Symbol" w:ascii="Symbol" w:hAnsi="Symbol"/>
          <w:i/>
        </w:rPr>
        <w:t></w:t>
      </w:r>
      <w:r>
        <w:rPr>
          <w:i/>
          <w:vertAlign w:val="superscript"/>
        </w:rPr>
        <w:t>2</w:t>
      </w:r>
      <w:r>
        <w:rPr>
          <w:rFonts w:cs="Times New Roman"/>
          <w:i/>
          <w:vertAlign w:val="subscript"/>
        </w:rPr>
        <w:t>individ</w:t>
      </w:r>
      <w:r>
        <w:rPr>
          <w:rFonts w:cs="Times New Roman"/>
        </w:rPr>
        <w:t xml:space="preserve">) reflected the mean variance among individuals at a single site and accounted for analytical error as well behavioral and physiological differences among individuals in the assimilation of environmental H and allocation to growth.  Estimates of the standard deviation in the </w:t>
      </w:r>
      <w:r>
        <w:rPr>
          <w:i/>
        </w:rPr>
        <w:t>δ</w:t>
      </w:r>
      <w:r>
        <w:rPr>
          <w:vertAlign w:val="superscript"/>
        </w:rPr>
        <w:t>2</w:t>
      </w:r>
      <w:r>
        <w:rPr/>
        <w:t>H</w:t>
      </w:r>
      <w:r>
        <w:rPr>
          <w:vertAlign w:val="subscript"/>
        </w:rPr>
        <w:t>tissue</w:t>
      </w:r>
      <w:r>
        <w:rPr>
          <w:rFonts w:cs="Times New Roman"/>
        </w:rPr>
        <w:t xml:space="preserve"> values for monarchs raised in captivity on the same diet ranged from 4-11 ‰ depending on the treatment (Hobson, Wassenaar &amp; Taylor 1999), whereas the value of </w:t>
      </w:r>
      <w:r>
        <w:rPr>
          <w:rFonts w:eastAsia="Symbol" w:cs="Symbol" w:ascii="Symbol" w:hAnsi="Symbol"/>
          <w:i/>
        </w:rPr>
        <w:t></w:t>
      </w:r>
      <w:r>
        <w:rPr>
          <w:rFonts w:cs="Times New Roman"/>
          <w:i/>
          <w:vertAlign w:val="subscript"/>
        </w:rPr>
        <w:t>individ</w:t>
      </w:r>
      <w:r>
        <w:rPr>
          <w:rFonts w:cs="Times New Roman"/>
        </w:rPr>
        <w:t xml:space="preserve"> calculated for the monarchs in this study was lower (3.8 ‰).  The </w:t>
      </w:r>
      <w:r>
        <w:rPr/>
        <w:t>variance</w:t>
      </w:r>
      <w:r>
        <w:rPr>
          <w:rFonts w:cs="Times New Roman"/>
        </w:rPr>
        <w:t xml:space="preserve"> component associated with rescaling may be a slight overestimate, as it also reflects some of the variance among individuals and in the precipitation, though it was generally the smallest of the three (Fig. S4 and S5).  Although we did not explore the effects of variance directly here, it is generally the case that the magnitude of the variance affects the precision of geographic assignments (Wunder 2010), and the among-individual variance at a given site is likely to be the largest source of variation (Wunder &amp; Norris 2008; Wunder </w:t>
      </w:r>
      <w:r>
        <w:rPr>
          <w:rFonts w:cs="Times New Roman"/>
          <w:i/>
          <w:iCs/>
        </w:rPr>
        <w:t>et al.</w:t>
      </w:r>
      <w:r>
        <w:rPr>
          <w:rFonts w:cs="Times New Roman"/>
        </w:rPr>
        <w:t xml:space="preserve"> 2012).  </w:t>
      </w:r>
    </w:p>
    <w:p>
      <w:pPr>
        <w:pStyle w:val="Normal"/>
        <w:widowControl w:val="false"/>
        <w:spacing w:lineRule="auto" w:line="480"/>
        <w:rPr/>
      </w:pPr>
      <w:r>
        <w:rPr/>
      </w:r>
    </w:p>
    <w:p>
      <w:pPr>
        <w:pStyle w:val="Normal"/>
        <w:widowControl w:val="false"/>
        <w:spacing w:lineRule="auto" w:line="480"/>
        <w:rPr>
          <w:i/>
          <w:i/>
        </w:rPr>
      </w:pPr>
      <w:r>
        <w:rPr>
          <w:i/>
        </w:rPr>
        <w:t>Geographic assignment methods</w:t>
      </w:r>
    </w:p>
    <w:p>
      <w:pPr>
        <w:pStyle w:val="Normal"/>
        <w:widowControl w:val="false"/>
        <w:spacing w:lineRule="auto" w:line="480"/>
        <w:ind w:firstLine="720"/>
        <w:rPr/>
      </w:pPr>
      <w:r>
        <w:rPr/>
        <w:t xml:space="preserve">Bayes rule was used to invert the conditional probability of the measured </w:t>
      </w:r>
      <w:r>
        <w:rPr>
          <w:i/>
        </w:rPr>
        <w:t>δ</w:t>
      </w:r>
      <w:r>
        <w:rPr>
          <w:vertAlign w:val="superscript"/>
        </w:rPr>
        <w:t>2</w:t>
      </w:r>
      <w:r>
        <w:rPr/>
        <w:t>H</w:t>
      </w:r>
      <w:r>
        <w:rPr>
          <w:vertAlign w:val="subscript"/>
        </w:rPr>
        <w:t>tissue</w:t>
      </w:r>
      <w:r>
        <w:rPr/>
        <w:t xml:space="preserve"> values, given the sampling location:</w:t>
      </w:r>
    </w:p>
    <w:p>
      <w:pPr>
        <w:pStyle w:val="Normal"/>
        <w:widowControl w:val="false"/>
        <w:spacing w:lineRule="auto" w:line="480"/>
        <w:ind w:left="720" w:hanging="0"/>
        <w:rPr/>
      </w:pPr>
      <w:r>
        <w:rPr/>
        <w:tab/>
        <w:tab/>
        <w:tab/>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A</m:t>
                </m:r>
              </m:e>
              <m:sub>
                <m:r>
                  <w:rPr>
                    <w:rFonts w:ascii="Cambria Math" w:hAnsi="Cambria Math"/>
                  </w:rPr>
                  <m:t xml:space="preserve">i</m:t>
                </m:r>
              </m:sub>
            </m:sSub>
          </m:e>
          <m:e>
            <m:r>
              <w:rPr>
                <w:rFonts w:ascii="Cambria Math" w:hAnsi="Cambria Math"/>
              </w:rPr>
              <m:t xml:space="preserve">B</m:t>
            </m:r>
          </m:e>
        </m:d>
        <m:r>
          <w:rPr>
            <w:rFonts w:ascii="Cambria Math" w:hAnsi="Cambria Math"/>
          </w:rPr>
          <m:t xml:space="preserve">=</m:t>
        </m:r>
        <m:f>
          <m:num>
            <m:r>
              <w:rPr>
                <w:rFonts w:ascii="Cambria Math" w:hAnsi="Cambria Math"/>
              </w:rPr>
              <m:t xml:space="preserve">P</m:t>
            </m:r>
            <m:d>
              <m:dPr>
                <m:begChr m:val="("/>
                <m:sepChr m:val="|"/>
                <m:endChr m:val=")"/>
              </m:dPr>
              <m:e>
                <m:r>
                  <w:rPr>
                    <w:rFonts w:ascii="Cambria Math" w:hAnsi="Cambria Math"/>
                  </w:rPr>
                  <m:t xml:space="preserve">B</m:t>
                </m:r>
              </m:e>
              <m:e>
                <m:sSub>
                  <m:e>
                    <m:r>
                      <w:rPr>
                        <w:rFonts w:ascii="Cambria Math" w:hAnsi="Cambria Math"/>
                      </w:rPr>
                      <m:t xml:space="preserve">A</m:t>
                    </m:r>
                  </m:e>
                  <m:sub>
                    <m:r>
                      <w:rPr>
                        <w:rFonts w:ascii="Cambria Math" w:hAnsi="Cambria Math"/>
                      </w:rPr>
                      <m:t xml:space="preserve">i</m:t>
                    </m:r>
                  </m:sub>
                </m:sSub>
              </m:e>
            </m:d>
            <m:r>
              <w:rPr>
                <w:rFonts w:ascii="Cambria Math" w:hAnsi="Cambria Math"/>
              </w:rPr>
              <m:t xml:space="preserve">P</m:t>
            </m:r>
            <m:d>
              <m:dPr>
                <m:begChr m:val="("/>
                <m:endChr m:val=")"/>
              </m:dPr>
              <m:e>
                <m:sSub>
                  <m:e>
                    <m:r>
                      <w:rPr>
                        <w:rFonts w:ascii="Cambria Math" w:hAnsi="Cambria Math"/>
                      </w:rPr>
                      <m:t xml:space="preserve">A</m:t>
                    </m:r>
                  </m:e>
                  <m:sub>
                    <m:r>
                      <w:rPr>
                        <w:rFonts w:ascii="Cambria Math" w:hAnsi="Cambria Math"/>
                      </w:rPr>
                      <m:t xml:space="preserve">i</m:t>
                    </m:r>
                  </m:sub>
                </m:sSub>
              </m:e>
            </m:d>
          </m:num>
          <m:den>
            <m:sSub>
              <m:e>
                <m:r>
                  <w:rPr>
                    <w:rFonts w:ascii="Cambria Math" w:hAnsi="Cambria Math"/>
                  </w:rPr>
                  <m:t xml:space="preserve">Σ</m:t>
                </m:r>
              </m:e>
              <m:sub>
                <m:r>
                  <w:rPr>
                    <w:rFonts w:ascii="Cambria Math" w:hAnsi="Cambria Math"/>
                  </w:rPr>
                  <m:t xml:space="preserve">i</m:t>
                </m:r>
              </m:sub>
            </m:sSub>
            <m:r>
              <w:rPr>
                <w:rFonts w:ascii="Cambria Math" w:hAnsi="Cambria Math"/>
              </w:rPr>
              <m:t xml:space="preserve">P</m:t>
            </m:r>
            <m:d>
              <m:dPr>
                <m:begChr m:val="("/>
                <m:endChr m:val=")"/>
              </m:dPr>
              <m:e>
                <m:r>
                  <w:rPr>
                    <w:rFonts w:ascii="Cambria Math" w:hAnsi="Cambria Math"/>
                  </w:rPr>
                  <m:t xml:space="preserve">B</m:t>
                </m:r>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e>
            </m:d>
            <m:r>
              <w:rPr>
                <w:rFonts w:ascii="Cambria Math" w:hAnsi="Cambria Math"/>
              </w:rPr>
              <m:t xml:space="preserve">P</m:t>
            </m:r>
            <m:d>
              <m:dPr>
                <m:begChr m:val="("/>
                <m:endChr m:val=")"/>
              </m:dPr>
              <m:e>
                <m:sSub>
                  <m:e>
                    <m:r>
                      <w:rPr>
                        <w:rFonts w:ascii="Cambria Math" w:hAnsi="Cambria Math"/>
                      </w:rPr>
                      <m:t xml:space="preserve">A</m:t>
                    </m:r>
                  </m:e>
                  <m:sub>
                    <m:r>
                      <w:rPr>
                        <w:rFonts w:ascii="Cambria Math" w:hAnsi="Cambria Math"/>
                      </w:rPr>
                      <m:t xml:space="preserve">i</m:t>
                    </m:r>
                  </m:sub>
                </m:sSub>
              </m:e>
            </m:d>
          </m:den>
        </m:f>
      </m:oMath>
      <w:r>
        <w:rPr/>
        <w:tab/>
        <w:tab/>
        <w:tab/>
        <w:tab/>
        <w:t>(eqn S1)</w:t>
      </w:r>
    </w:p>
    <w:p>
      <w:pPr>
        <w:pStyle w:val="Normal"/>
        <w:widowControl w:val="false"/>
        <w:spacing w:lineRule="auto" w:line="480"/>
        <w:rPr/>
      </w:pPr>
      <w:r>
        <w:rPr/>
        <w:t xml:space="preserve">where </w:t>
      </w:r>
      <w:r>
        <w:rPr>
          <w:i/>
        </w:rPr>
        <w:t>P</w:t>
      </w:r>
      <w:r>
        <w:rPr/>
        <w:t>(</w:t>
      </w:r>
      <w:r>
        <w:rPr>
          <w:i/>
        </w:rPr>
        <w:t>A</w:t>
      </w:r>
      <w:r>
        <w:rPr>
          <w:i/>
          <w:vertAlign w:val="subscript"/>
        </w:rPr>
        <w:t>i</w:t>
      </w:r>
      <w:r>
        <w:rPr/>
        <w:t>|</w:t>
      </w:r>
      <w:r>
        <w:rPr>
          <w:i/>
        </w:rPr>
        <w:t>B</w:t>
      </w:r>
      <w:r>
        <w:rPr/>
        <w:t xml:space="preserve">) is the posterior probability distribution of a sample originating in geographic location </w:t>
      </w:r>
      <w:r>
        <w:rPr>
          <w:i/>
        </w:rPr>
        <w:t xml:space="preserve">i, </w:t>
      </w:r>
      <w:r>
        <w:rPr/>
        <w:t xml:space="preserve">given the observed </w:t>
      </w:r>
      <w:r>
        <w:rPr>
          <w:i/>
        </w:rPr>
        <w:t>δ</w:t>
      </w:r>
      <w:r>
        <w:rPr>
          <w:vertAlign w:val="superscript"/>
        </w:rPr>
        <w:t>2</w:t>
      </w:r>
      <w:r>
        <w:rPr/>
        <w:t>H</w:t>
      </w:r>
      <w:r>
        <w:rPr>
          <w:vertAlign w:val="subscript"/>
        </w:rPr>
        <w:t xml:space="preserve">tissue </w:t>
      </w:r>
      <w:r>
        <w:rPr/>
        <w:t xml:space="preserve">value.  </w:t>
      </w:r>
      <w:r>
        <w:rPr>
          <w:i/>
        </w:rPr>
        <w:t>P</w:t>
      </w:r>
      <w:r>
        <w:rPr/>
        <w:t>(</w:t>
      </w:r>
      <w:r>
        <w:rPr>
          <w:i/>
        </w:rPr>
        <w:t>B</w:t>
      </w:r>
      <w:r>
        <w:rPr/>
        <w:t>|</w:t>
      </w:r>
      <w:r>
        <w:rPr>
          <w:i/>
        </w:rPr>
        <w:t>A</w:t>
      </w:r>
      <w:r>
        <w:rPr>
          <w:i/>
          <w:vertAlign w:val="subscript"/>
        </w:rPr>
        <w:t>i</w:t>
      </w:r>
      <w:r>
        <w:rPr/>
        <w:t xml:space="preserve">) is the likelihood probability distribution of obtaining the observed </w:t>
      </w:r>
      <w:r>
        <w:rPr>
          <w:i/>
        </w:rPr>
        <w:t>δ</w:t>
      </w:r>
      <w:r>
        <w:rPr>
          <w:vertAlign w:val="superscript"/>
        </w:rPr>
        <w:t>2</w:t>
      </w:r>
      <w:r>
        <w:rPr/>
        <w:t>H</w:t>
      </w:r>
      <w:r>
        <w:rPr>
          <w:vertAlign w:val="subscript"/>
        </w:rPr>
        <w:t>tissue</w:t>
      </w:r>
      <w:r>
        <w:rPr/>
        <w:t xml:space="preserve"> value at geographic location </w:t>
      </w:r>
      <w:r>
        <w:rPr>
          <w:i/>
        </w:rPr>
        <w:t>i</w:t>
      </w:r>
      <w:r>
        <w:rPr/>
        <w:t>, and (</w:t>
      </w:r>
      <w:r>
        <w:rPr>
          <w:i/>
        </w:rPr>
        <w:t>A</w:t>
      </w:r>
      <w:r>
        <w:rPr>
          <w:i/>
          <w:vertAlign w:val="subscript"/>
        </w:rPr>
        <w:t>i</w:t>
      </w:r>
      <w:r>
        <w:rPr/>
        <w:t xml:space="preserve">) is the prior probability distribution of a sample originating in geographic location </w:t>
      </w:r>
      <w:r>
        <w:rPr>
          <w:i/>
        </w:rPr>
        <w:t>i</w:t>
      </w:r>
      <w:r>
        <w:rPr/>
        <w:t>.  The denominator is a constant, and thus the probability density is proportional to the numerator.  A uniform prior probability equal to 1 was used, such that all locations within the precipitation isoscapes were equally likely.  Equation S1 reduces to the likelihood term:</w:t>
      </w:r>
    </w:p>
    <w:p>
      <w:pPr>
        <w:pStyle w:val="Normal"/>
        <w:widowControl w:val="false"/>
        <w:spacing w:lineRule="auto" w:line="480"/>
        <w:rPr/>
      </w:pPr>
      <w:r>
        <w:rPr/>
        <w:tab/>
        <w:tab/>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A</m:t>
                </m:r>
              </m:e>
              <m:sub>
                <m:r>
                  <w:rPr>
                    <w:rFonts w:ascii="Cambria Math" w:hAnsi="Cambria Math"/>
                  </w:rPr>
                  <m:t xml:space="preserve">i</m:t>
                </m:r>
              </m:sub>
            </m:sSub>
          </m:e>
          <m:e>
            <m:r>
              <w:rPr>
                <w:rFonts w:ascii="Cambria Math" w:hAnsi="Cambria Math"/>
              </w:rPr>
              <m:t xml:space="preserve">B</m:t>
            </m:r>
          </m:e>
        </m:d>
        <m:r>
          <w:rPr>
            <w:rFonts w:ascii="Cambria Math" w:hAnsi="Cambria Math"/>
          </w:rPr>
          <m:t xml:space="preserve">∝</m:t>
        </m:r>
        <m:r>
          <w:rPr>
            <w:rFonts w:ascii="Cambria Math" w:hAnsi="Cambria Math"/>
          </w:rPr>
          <m:t xml:space="preserve">L</m:t>
        </m:r>
        <m:d>
          <m:dPr>
            <m:begChr m:val="("/>
            <m:sepChr m:val="|"/>
            <m:endChr m:val=")"/>
          </m:dPr>
          <m:e>
            <m:r>
              <w:rPr>
                <w:rFonts w:ascii="Cambria Math" w:hAnsi="Cambria Math"/>
              </w:rPr>
              <m:t xml:space="preserve">y</m:t>
            </m:r>
          </m:e>
          <m:e>
            <m:sSub>
              <m:e>
                <m:r>
                  <w:rPr>
                    <w:rFonts w:ascii="Cambria Math" w:hAnsi="Cambria Math"/>
                  </w:rPr>
                  <m:t xml:space="preserve">μ</m:t>
                </m:r>
              </m:e>
              <m:sub>
                <m:r>
                  <w:rPr>
                    <w:rFonts w:ascii="Cambria Math" w:hAnsi="Cambria Math"/>
                  </w:rPr>
                  <m:t xml:space="preserve">i</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i</m:t>
                </m:r>
              </m:sub>
              <m:sup>
                <m:r>
                  <w:rPr>
                    <w:rFonts w:ascii="Cambria Math" w:hAnsi="Cambria Math"/>
                  </w:rPr>
                  <m:t xml:space="preserve">2</m:t>
                </m:r>
              </m:sup>
            </m:sSubSup>
          </m:e>
        </m:d>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2</m:t>
                </m:r>
                <m:r>
                  <w:rPr>
                    <w:rFonts w:ascii="Cambria Math" w:hAnsi="Cambria Math"/>
                  </w:rPr>
                  <m:t xml:space="preserve">π</m:t>
                </m:r>
                <m:sSubSup>
                  <m:e>
                    <m:r>
                      <w:rPr>
                        <w:rFonts w:ascii="Cambria Math" w:hAnsi="Cambria Math"/>
                      </w:rPr>
                      <m:t xml:space="preserve">σ</m:t>
                    </m:r>
                  </m:e>
                  <m:sub>
                    <m:r>
                      <w:rPr>
                        <w:rFonts w:ascii="Cambria Math" w:hAnsi="Cambria Math"/>
                      </w:rPr>
                      <m:t xml:space="preserve">i</m:t>
                    </m:r>
                  </m:sub>
                  <m:sup>
                    <m:r>
                      <w:rPr>
                        <w:rFonts w:ascii="Cambria Math" w:hAnsi="Cambria Math"/>
                      </w:rPr>
                      <m:t xml:space="preserve">2</m:t>
                    </m:r>
                  </m:sup>
                </m:sSubSup>
              </m:e>
            </m:rad>
          </m:den>
        </m:f>
        <m:sSup>
          <m:e>
            <m:r>
              <w:rPr>
                <w:rFonts w:ascii="Cambria Math" w:hAnsi="Cambria Math"/>
              </w:rPr>
              <m:t xml:space="preserve">e</m:t>
            </m:r>
          </m:e>
          <m:sup>
            <m:f>
              <m:num>
                <m:sSup>
                  <m:e>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e>
                    </m:d>
                  </m:e>
                  <m:sup>
                    <m:r>
                      <w:rPr>
                        <w:rFonts w:ascii="Cambria Math" w:hAnsi="Cambria Math"/>
                      </w:rPr>
                      <m:t xml:space="preserve">2</m:t>
                    </m:r>
                  </m:sup>
                </m:sSup>
              </m:num>
              <m:den>
                <m:r>
                  <w:rPr>
                    <w:rFonts w:ascii="Cambria Math" w:hAnsi="Cambria Math"/>
                  </w:rPr>
                  <m:t xml:space="preserve">2</m:t>
                </m:r>
                <m:sSubSup>
                  <m:e>
                    <m:r>
                      <w:rPr>
                        <w:rFonts w:ascii="Cambria Math" w:hAnsi="Cambria Math"/>
                      </w:rPr>
                      <m:t xml:space="preserve">σ</m:t>
                    </m:r>
                  </m:e>
                  <m:sub>
                    <m:r>
                      <w:rPr>
                        <w:rFonts w:ascii="Cambria Math" w:hAnsi="Cambria Math"/>
                      </w:rPr>
                      <m:t xml:space="preserve">i</m:t>
                    </m:r>
                  </m:sub>
                  <m:sup>
                    <m:r>
                      <w:rPr>
                        <w:rFonts w:ascii="Cambria Math" w:hAnsi="Cambria Math"/>
                      </w:rPr>
                      <m:t xml:space="preserve">2</m:t>
                    </m:r>
                  </m:sup>
                </m:sSubSup>
              </m:den>
            </m:f>
          </m:sup>
        </m:sSup>
      </m:oMath>
      <w:r>
        <w:rPr/>
        <w:tab/>
        <w:tab/>
        <w:tab/>
        <w:t>(eqn S2)</w:t>
      </w:r>
    </w:p>
    <w:p>
      <w:pPr>
        <w:pStyle w:val="Normal"/>
        <w:widowControl w:val="false"/>
        <w:spacing w:lineRule="auto" w:line="480"/>
        <w:rPr/>
      </w:pPr>
      <w:r>
        <w:rPr/>
        <w:t xml:space="preserve">where </w:t>
      </w:r>
      <w:r>
        <w:rPr>
          <w:i/>
        </w:rPr>
        <w:t xml:space="preserve">L </w:t>
      </w:r>
      <w:r>
        <w:rPr/>
        <w:t xml:space="preserve">is the likelihood of the </w:t>
      </w:r>
      <w:r>
        <w:rPr>
          <w:rFonts w:eastAsia="Symbol" w:cs="Symbol" w:ascii="Symbol" w:hAnsi="Symbol"/>
          <w:i/>
        </w:rPr>
        <w:t></w:t>
      </w:r>
      <w:r>
        <w:rPr>
          <w:vertAlign w:val="superscript"/>
        </w:rPr>
        <w:t>2</w:t>
      </w:r>
      <w:r>
        <w:rPr/>
        <w:t xml:space="preserve">H value </w:t>
      </w:r>
      <w:r>
        <w:rPr>
          <w:i/>
        </w:rPr>
        <w:t xml:space="preserve">y </w:t>
      </w:r>
      <w:r>
        <w:rPr/>
        <w:t>at geographic location</w:t>
      </w:r>
      <w:r>
        <w:rPr>
          <w:i/>
        </w:rPr>
        <w:t xml:space="preserve"> i</w:t>
      </w:r>
      <w:r>
        <w:rPr/>
        <w:t xml:space="preserve"> given modeled mean (</w:t>
      </w:r>
      <w:r>
        <w:rPr>
          <w:rFonts w:eastAsia="Symbol" w:cs="Symbol" w:ascii="Symbol" w:hAnsi="Symbol"/>
          <w:i/>
        </w:rPr>
        <w:t></w:t>
      </w:r>
      <w:r>
        <w:rPr>
          <w:i/>
          <w:vertAlign w:val="subscript"/>
        </w:rPr>
        <w:t>i</w:t>
      </w:r>
      <w:r>
        <w:rPr/>
        <w:t>) and variance (</w:t>
      </w:r>
      <w:r>
        <w:rPr>
          <w:rFonts w:eastAsia="Symbol" w:cs="Symbol" w:ascii="Symbol" w:hAnsi="Symbol"/>
          <w:i/>
        </w:rPr>
        <w:t></w:t>
      </w:r>
      <w:r>
        <w:rPr>
          <w:i/>
          <w:vertAlign w:val="subscript"/>
        </w:rPr>
        <w:t>i</w:t>
      </w:r>
      <w:r>
        <w:rPr>
          <w:i/>
          <w:vertAlign w:val="superscript"/>
        </w:rPr>
        <w:t>2</w:t>
      </w:r>
      <w:r>
        <w:rPr/>
        <w:t xml:space="preserve">) values for tissues formed at that location.  Values of </w:t>
      </w:r>
      <w:r>
        <w:rPr>
          <w:rFonts w:eastAsia="Symbol" w:cs="Symbol" w:ascii="Symbol" w:hAnsi="Symbol"/>
          <w:i/>
        </w:rPr>
        <w:t></w:t>
      </w:r>
      <w:r>
        <w:rPr>
          <w:i/>
          <w:vertAlign w:val="subscript"/>
        </w:rPr>
        <w:t>i</w:t>
      </w:r>
      <w:r>
        <w:rPr>
          <w:i/>
        </w:rPr>
        <w:t xml:space="preserve"> </w:t>
      </w:r>
      <w:r>
        <w:rPr/>
        <w:t xml:space="preserve">represent the </w:t>
      </w:r>
      <w:r>
        <w:rPr>
          <w:rFonts w:cs="Times New Roman"/>
          <w:i/>
        </w:rPr>
        <w:t>δ</w:t>
      </w:r>
      <w:r>
        <w:rPr>
          <w:vertAlign w:val="superscript"/>
        </w:rPr>
        <w:t>2</w:t>
      </w:r>
      <w:r>
        <w:rPr/>
        <w:t>H</w:t>
      </w:r>
      <w:r>
        <w:rPr>
          <w:vertAlign w:val="subscript"/>
        </w:rPr>
        <w:t>tissue</w:t>
      </w:r>
      <w:r>
        <w:rPr/>
        <w:t xml:space="preserve"> values in the relevant isoscape, and </w:t>
      </w:r>
      <w:r>
        <w:rPr>
          <w:rFonts w:eastAsia="Symbol" w:cs="Symbol" w:ascii="Symbol" w:hAnsi="Symbol"/>
          <w:i/>
        </w:rPr>
        <w:t></w:t>
      </w:r>
      <w:r>
        <w:rPr>
          <w:i/>
          <w:vertAlign w:val="subscript"/>
        </w:rPr>
        <w:t>i</w:t>
      </w:r>
      <w:r>
        <w:rPr/>
        <w:t xml:space="preserve"> represents the pooled variance defined in the main text.  </w:t>
      </w:r>
    </w:p>
    <w:p>
      <w:pPr>
        <w:pStyle w:val="Normal"/>
        <w:widowControl w:val="false"/>
        <w:spacing w:lineRule="auto" w:line="480"/>
        <w:rPr/>
      </w:pPr>
      <w:r>
        <w:rPr/>
      </w:r>
    </w:p>
    <w:p>
      <w:pPr>
        <w:pStyle w:val="Normal"/>
        <w:widowControl w:val="false"/>
        <w:spacing w:lineRule="auto" w:line="480"/>
        <w:rPr/>
      </w:pPr>
      <w:r>
        <w:rPr>
          <w:i/>
        </w:rPr>
        <w:t>Evaluation of assignment efficacy</w:t>
      </w:r>
    </w:p>
    <w:p>
      <w:pPr>
        <w:pStyle w:val="Normal"/>
        <w:widowControl w:val="false"/>
        <w:spacing w:lineRule="auto" w:line="480"/>
        <w:ind w:firstLine="720"/>
        <w:rPr>
          <w:rFonts w:cs="Times New Roman"/>
        </w:rPr>
      </w:pPr>
      <w:r>
        <w:rPr/>
        <w:t>The similarity index used in this study was adopted from the Expected fraction of Shared Presences (ESP) metric proposed by Godsoe (2014), which was derived from S</w:t>
      </w:r>
      <w:r>
        <w:rPr>
          <w:rFonts w:cs="Times New Roman"/>
        </w:rPr>
        <w:t>ørensen’s similarity index and was computed as:</w:t>
      </w:r>
    </w:p>
    <w:p>
      <w:pPr>
        <w:pStyle w:val="Normal"/>
        <w:widowControl w:val="false"/>
        <w:spacing w:lineRule="auto" w:line="480"/>
        <w:ind w:firstLine="720"/>
        <w:rPr/>
      </w:pPr>
      <w:r>
        <w:rPr>
          <w:rFonts w:cs="Times New Roman"/>
        </w:rPr>
        <w:tab/>
        <w:tab/>
      </w:r>
      <w:r>
        <w:rPr>
          <w:rFonts w:cs="Times New Roman"/>
        </w:rPr>
      </w:r>
      <m:oMath xmlns:m="http://schemas.openxmlformats.org/officeDocument/2006/math">
        <m:eqArr>
          <m:e>
            <m:r>
              <w:rPr>
                <w:rFonts w:ascii="Cambria Math" w:hAnsi="Cambria Math"/>
              </w:rPr>
              <m:t xml:space="preserve">P</m:t>
            </m:r>
          </m:e>
          <m:e>
            <m:nary>
              <m:naryPr>
                <m:chr m:val="∑"/>
                <m:supHide m:val="1"/>
              </m:naryPr>
              <m:sub>
                <m:r>
                  <w:rPr>
                    <w:rFonts w:ascii="Cambria Math" w:hAnsi="Cambria Math"/>
                  </w:rPr>
                  <m:t xml:space="preserve">j</m:t>
                </m:r>
              </m:sub>
              <m:sup/>
              <m:e>
                <m:d>
                  <m:dPr>
                    <m:begChr m:val="("/>
                    <m:endChr m:val=")"/>
                  </m:dPr>
                  <m:e/>
                  <m:e>
                    <m:r>
                      <w:rPr>
                        <w:rFonts w:ascii="Cambria Math" w:hAnsi="Cambria Math"/>
                      </w:rPr>
                      <m:t xml:space="preserve">1</m:t>
                    </m:r>
                    <m:r>
                      <w:rPr>
                        <w:rFonts w:ascii="Cambria Math" w:hAnsi="Cambria Math"/>
                      </w:rPr>
                      <m:t xml:space="preserve">j</m:t>
                    </m:r>
                    <m:sSub>
                      <m:e>
                        <m:r>
                          <w:rPr>
                            <w:rFonts w:ascii="Cambria Math" w:hAnsi="Cambria Math"/>
                          </w:rPr>
                          <m:t xml:space="preserve">+</m:t>
                        </m:r>
                        <m:r>
                          <w:rPr>
                            <w:rFonts w:ascii="Cambria Math" w:hAnsi="Cambria Math"/>
                          </w:rPr>
                          <m:t xml:space="preserve">P</m:t>
                        </m:r>
                      </m:e>
                      <m:sub>
                        <m:r>
                          <w:rPr>
                            <w:rFonts w:ascii="Cambria Math" w:hAnsi="Cambria Math"/>
                          </w:rPr>
                          <m:t xml:space="preserve">2</m:t>
                        </m:r>
                        <m:r>
                          <w:rPr>
                            <w:rFonts w:ascii="Cambria Math" w:hAnsi="Cambria Math"/>
                          </w:rPr>
                          <m:t xml:space="preserve">j</m:t>
                        </m:r>
                      </m:sub>
                    </m:sSub>
                  </m:e>
                </m:d>
              </m:e>
            </m:nary>
          </m:e>
          <m:e>
            <m:r>
              <w:rPr>
                <w:rFonts w:ascii="Cambria Math" w:hAnsi="Cambria Math"/>
              </w:rPr>
              <m:t xml:space="preserve">ESP</m:t>
            </m:r>
            <m:r>
              <w:rPr>
                <w:rFonts w:ascii="Cambria Math" w:hAnsi="Cambria Math"/>
              </w:rPr>
              <m:t xml:space="preserve">=</m:t>
            </m:r>
            <m:f>
              <m:num>
                <m:r>
                  <w:rPr>
                    <w:rFonts w:ascii="Cambria Math" w:hAnsi="Cambria Math"/>
                  </w:rPr>
                  <m:t xml:space="preserve">2</m:t>
                </m:r>
                <m:nary>
                  <m:naryPr>
                    <m:chr m:val="∑"/>
                    <m:supHide m:val="1"/>
                  </m:naryPr>
                  <m:sub>
                    <m:r>
                      <w:rPr>
                        <w:rFonts w:ascii="Cambria Math" w:hAnsi="Cambria Math"/>
                      </w:rPr>
                      <m:t xml:space="preserve">j</m:t>
                    </m:r>
                  </m:sub>
                  <m:sup/>
                  <m:e>
                    <m:sSub>
                      <m:e>
                        <m:r>
                          <w:rPr>
                            <w:rFonts w:ascii="Cambria Math" w:hAnsi="Cambria Math"/>
                          </w:rPr>
                          <m:t xml:space="preserve">P</m:t>
                        </m:r>
                      </m:e>
                      <m:sub>
                        <m:r>
                          <w:rPr>
                            <w:rFonts w:ascii="Cambria Math" w:hAnsi="Cambria Math"/>
                          </w:rPr>
                          <m:t xml:space="preserve">1</m:t>
                        </m:r>
                        <m:r>
                          <w:rPr>
                            <w:rFonts w:ascii="Cambria Math" w:hAnsi="Cambria Math"/>
                          </w:rPr>
                          <m:t xml:space="preserve">j</m:t>
                        </m:r>
                      </m:sub>
                    </m:sSub>
                    <m:sSub>
                      <m:e>
                        <m:r>
                          <w:rPr>
                            <w:rFonts w:ascii="Cambria Math" w:hAnsi="Cambria Math"/>
                          </w:rPr>
                          <m:t xml:space="preserve">P</m:t>
                        </m:r>
                      </m:e>
                      <m:sub>
                        <m:r>
                          <w:rPr>
                            <w:rFonts w:ascii="Cambria Math" w:hAnsi="Cambria Math"/>
                          </w:rPr>
                          <m:t xml:space="preserve">2</m:t>
                        </m:r>
                        <m:r>
                          <w:rPr>
                            <w:rFonts w:ascii="Cambria Math" w:hAnsi="Cambria Math"/>
                          </w:rPr>
                          <m:t xml:space="preserve">j</m:t>
                        </m:r>
                      </m:sub>
                    </m:sSub>
                  </m:e>
                </m:nary>
              </m:num>
              <m:den/>
            </m:f>
          </m:e>
        </m:eqArr>
      </m:oMath>
      <w:r>
        <w:rPr/>
        <w:tab/>
        <w:tab/>
        <w:tab/>
        <w:tab/>
        <w:tab/>
        <w:tab/>
        <w:t>(eqn S3)</w:t>
      </w:r>
    </w:p>
    <w:p>
      <w:pPr>
        <w:sectPr>
          <w:footerReference w:type="default" r:id="rId2"/>
          <w:type w:val="nextPage"/>
          <w:pgSz w:w="12240" w:h="15840"/>
          <w:pgMar w:left="1440" w:right="1440" w:header="0" w:top="1440" w:footer="720" w:bottom="1440" w:gutter="0"/>
          <w:pgNumType w:fmt="decimal"/>
          <w:formProt w:val="false"/>
          <w:textDirection w:val="lrTb"/>
          <w:docGrid w:type="default" w:linePitch="360" w:charSpace="4294961151"/>
        </w:sectPr>
        <w:pStyle w:val="Normal"/>
        <w:widowControl w:val="false"/>
        <w:pBdr/>
        <w:spacing w:lineRule="auto" w:line="480"/>
        <w:rPr>
          <w:rStyle w:val="Pagenumber"/>
        </w:rPr>
      </w:pPr>
      <w:r>
        <w:rPr/>
        <w:t>where the posterior density surface was recoded to a binary surface at a given threshold, such that P</w:t>
      </w:r>
      <w:r>
        <w:rPr>
          <w:i/>
          <w:vertAlign w:val="subscript"/>
        </w:rPr>
        <w:t>1j</w:t>
      </w:r>
      <w:r>
        <w:rPr>
          <w:i/>
        </w:rPr>
        <w:t xml:space="preserve"> </w:t>
      </w:r>
      <w:r>
        <w:rPr/>
        <w:t>is the number of cells that had a posterior probability greater than the threshold for the short- term assignment; P</w:t>
      </w:r>
      <w:r>
        <w:rPr>
          <w:i/>
          <w:vertAlign w:val="subscript"/>
        </w:rPr>
        <w:t>2j</w:t>
      </w:r>
      <w:r>
        <w:rPr/>
        <w:t xml:space="preserve"> is the number of cells that had a posterior probability greater than the threshold for the long-term assignment.  Therefore, the numerator represents the number of cells meeting the criterion for both assignment methods and the denominator indicates the total number of cells meeting the criterion across both assignments at a given relative probability value.  The ESP was calculated over the range of relative probability intervals (between 0.01 and 0.99) for assignments made with short- and long-term isoscapes for each individual.  </w:t>
      </w:r>
    </w:p>
    <w:p>
      <w:pPr>
        <w:pStyle w:val="Normal"/>
        <w:widowControl w:val="false"/>
        <w:tabs>
          <w:tab w:val="left" w:pos="3510" w:leader="none"/>
        </w:tabs>
        <w:rPr/>
      </w:pPr>
      <w:r>
        <w:rPr>
          <w:b/>
        </w:rPr>
        <w:t>Table S1.</w:t>
      </w:r>
      <w:r>
        <w:rPr/>
        <w:t xml:space="preserve"> Monarch butterfly sampling site latitude, longitude, elevation, as well as mean, range, SD of </w:t>
      </w:r>
      <w:r>
        <w:rPr>
          <w:rFonts w:cs="Times New Roman"/>
          <w:i/>
        </w:rPr>
        <w:t>δ</w:t>
      </w:r>
      <w:r>
        <w:rPr>
          <w:vertAlign w:val="superscript"/>
        </w:rPr>
        <w:t>2</w:t>
      </w:r>
      <w:r>
        <w:rPr/>
        <w:t>H</w:t>
      </w:r>
      <w:r>
        <w:rPr>
          <w:vertAlign w:val="subscript"/>
        </w:rPr>
        <w:t>tissue</w:t>
      </w:r>
      <w:r>
        <w:rPr/>
        <w:t xml:space="preserve"> values and number of individuals sampled (divided by calibration and validation sites).  Original data from Hobson, Wassenaar &amp; Taylor (1999).</w:t>
      </w:r>
    </w:p>
    <w:tbl>
      <w:tblPr>
        <w:tblStyle w:val="TableGrid"/>
        <w:tblW w:w="13155" w:type="dxa"/>
        <w:jc w:val="left"/>
        <w:tblInd w:w="0" w:type="dxa"/>
        <w:tblCellMar>
          <w:top w:w="0" w:type="dxa"/>
          <w:left w:w="108" w:type="dxa"/>
          <w:bottom w:w="0" w:type="dxa"/>
          <w:right w:w="108" w:type="dxa"/>
        </w:tblCellMar>
        <w:tblLook w:val="04a0" w:noVBand="1" w:noHBand="0" w:lastColumn="0" w:firstColumn="1" w:lastRow="0" w:firstRow="1"/>
      </w:tblPr>
      <w:tblGrid>
        <w:gridCol w:w="1345"/>
        <w:gridCol w:w="1347"/>
        <w:gridCol w:w="1347"/>
        <w:gridCol w:w="1347"/>
        <w:gridCol w:w="1348"/>
        <w:gridCol w:w="1347"/>
        <w:gridCol w:w="1347"/>
        <w:gridCol w:w="1347"/>
        <w:gridCol w:w="2378"/>
      </w:tblGrid>
      <w:tr>
        <w:trPr/>
        <w:tc>
          <w:tcPr>
            <w:tcW w:w="1345"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rPr>
                <w:rFonts w:cs="Times New Roman"/>
                <w:b/>
                <w:b/>
                <w:sz w:val="22"/>
                <w:szCs w:val="22"/>
              </w:rPr>
            </w:pPr>
            <w:r>
              <w:rPr>
                <w:rFonts w:cs="Times New Roman"/>
                <w:b/>
                <w:sz w:val="22"/>
                <w:szCs w:val="22"/>
              </w:rPr>
              <w:t>Site ID</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Latitude</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Longitude</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Elevation (m)</w:t>
            </w:r>
          </w:p>
        </w:tc>
        <w:tc>
          <w:tcPr>
            <w:tcW w:w="1348"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i/>
                <w:i/>
                <w:sz w:val="22"/>
                <w:szCs w:val="22"/>
              </w:rPr>
            </w:pPr>
            <w:r>
              <w:rPr>
                <w:rFonts w:cs="Times New Roman"/>
                <w:b/>
                <w:sz w:val="22"/>
                <w:szCs w:val="22"/>
              </w:rPr>
              <w:t xml:space="preserve">Mean </w:t>
            </w:r>
          </w:p>
          <w:p>
            <w:pPr>
              <w:pStyle w:val="Normal"/>
              <w:widowControl w:val="false"/>
              <w:jc w:val="center"/>
              <w:rPr>
                <w:rFonts w:cs="Times New Roman"/>
                <w:b/>
                <w:b/>
                <w:sz w:val="22"/>
                <w:szCs w:val="22"/>
              </w:rPr>
            </w:pPr>
            <w:r>
              <w:rPr>
                <w:rFonts w:cs="Times New Roman"/>
                <w:b/>
                <w:i/>
                <w:sz w:val="22"/>
                <w:szCs w:val="22"/>
              </w:rPr>
              <w:t>δ</w:t>
            </w:r>
            <w:r>
              <w:rPr>
                <w:rFonts w:cs="Times New Roman"/>
                <w:b/>
                <w:sz w:val="22"/>
                <w:szCs w:val="22"/>
                <w:vertAlign w:val="superscript"/>
              </w:rPr>
              <w:t>2</w:t>
            </w:r>
            <w:r>
              <w:rPr>
                <w:rFonts w:cs="Times New Roman"/>
                <w:b/>
                <w:sz w:val="22"/>
                <w:szCs w:val="22"/>
              </w:rPr>
              <w:t>H (‰)</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 xml:space="preserve">Range </w:t>
            </w:r>
            <w:r>
              <w:rPr>
                <w:rFonts w:cs="Times New Roman"/>
                <w:b/>
                <w:i/>
                <w:sz w:val="22"/>
                <w:szCs w:val="22"/>
              </w:rPr>
              <w:t>δ</w:t>
            </w:r>
            <w:r>
              <w:rPr>
                <w:rFonts w:cs="Times New Roman"/>
                <w:b/>
                <w:sz w:val="22"/>
                <w:szCs w:val="22"/>
                <w:vertAlign w:val="superscript"/>
              </w:rPr>
              <w:t>2</w:t>
            </w:r>
            <w:r>
              <w:rPr>
                <w:rFonts w:cs="Times New Roman"/>
                <w:b/>
                <w:sz w:val="22"/>
                <w:szCs w:val="22"/>
              </w:rPr>
              <w:t>H (‰)</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SD</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n</w:t>
            </w:r>
          </w:p>
        </w:tc>
        <w:tc>
          <w:tcPr>
            <w:tcW w:w="2378"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Location</w:t>
            </w:r>
          </w:p>
        </w:tc>
      </w:tr>
      <w:tr>
        <w:trPr/>
        <w:tc>
          <w:tcPr>
            <w:tcW w:w="1345" w:type="dxa"/>
            <w:tcBorders>
              <w:top w:val="single" w:sz="12" w:space="0" w:color="00000A"/>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All sites</w:t>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cs="Times New Roman"/>
                <w:sz w:val="22"/>
                <w:szCs w:val="22"/>
              </w:rPr>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cs="Times New Roman"/>
                <w:sz w:val="22"/>
                <w:szCs w:val="22"/>
              </w:rPr>
            </w:r>
          </w:p>
        </w:tc>
        <w:tc>
          <w:tcPr>
            <w:tcW w:w="1347" w:type="dxa"/>
            <w:tcBorders>
              <w:top w:val="single" w:sz="12" w:space="0" w:color="00000A"/>
              <w:left w:val="nil"/>
              <w:bottom w:val="nil"/>
              <w:right w:val="nil"/>
              <w:insideH w:val="nil"/>
              <w:insideV w:val="nil"/>
            </w:tcBorders>
            <w:shd w:fill="auto" w:val="clear"/>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r>
          </w:p>
        </w:tc>
        <w:tc>
          <w:tcPr>
            <w:tcW w:w="1348"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-101.3</w:t>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53.9</w:t>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2.1</w:t>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97</w:t>
            </w:r>
          </w:p>
        </w:tc>
        <w:tc>
          <w:tcPr>
            <w:tcW w:w="2378"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i/>
                <w:i/>
                <w:sz w:val="22"/>
                <w:szCs w:val="22"/>
              </w:rPr>
            </w:pPr>
            <w:r>
              <w:rPr>
                <w:rFonts w:cs="Times New Roman"/>
                <w:i/>
                <w:sz w:val="22"/>
                <w:szCs w:val="22"/>
              </w:rPr>
            </w:r>
          </w:p>
          <w:p>
            <w:pPr>
              <w:pStyle w:val="Normal"/>
              <w:widowControl w:val="false"/>
              <w:rPr>
                <w:rFonts w:cs="Times New Roman"/>
                <w:i/>
                <w:i/>
                <w:sz w:val="22"/>
                <w:szCs w:val="22"/>
              </w:rPr>
            </w:pPr>
            <w:r>
              <w:rPr>
                <w:rFonts w:cs="Times New Roman"/>
                <w:i/>
                <w:sz w:val="22"/>
                <w:szCs w:val="22"/>
              </w:rPr>
              <w:t>Calibration</w:t>
            </w:r>
          </w:p>
          <w:p>
            <w:pPr>
              <w:pStyle w:val="Normal"/>
              <w:widowControl w:val="false"/>
              <w:rPr>
                <w:rFonts w:cs="Times New Roman"/>
                <w:sz w:val="22"/>
                <w:szCs w:val="22"/>
              </w:rPr>
            </w:pPr>
            <w:r>
              <w:rPr>
                <w:rFonts w:cs="Times New Roman"/>
                <w:sz w:val="22"/>
                <w:szCs w:val="22"/>
              </w:rPr>
              <w:t>C1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48.21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-101.55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608</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-113.8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Des Lacs, ND</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45.83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-96.85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332</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Fargo, ND</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44.44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-69.43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130</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Madison, ME</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43.01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-91.24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310</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-101.1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0.9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Monona, IA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42.55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-73.48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335</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-111.8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Round Lake, NY</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40.95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-76.88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152</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-101.2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Lewisburg, PA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40.78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-96.71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363</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-96.6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Lincoln, NE</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39.58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-86.06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254</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-107.6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Carmel, IN</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39.01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-99.51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685</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-104.7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17.2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Wakeeney, KS</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37.4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-92.4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344</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Lebanon, MO</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36.46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-97.35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297</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-90.8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Red Rock, OK</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35.8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-78.7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125</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-96.7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Raleigh, NC</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34.83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-82.4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285</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-94.3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Greenville, SC</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33.56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-96.95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209</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-95.6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15.2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Cedar Hill, TX</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33.37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-91.48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37</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Monticello, AR</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25.88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-80.6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-91.6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0.8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Miami, FL</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i/>
                <w:i/>
                <w:sz w:val="22"/>
                <w:szCs w:val="22"/>
              </w:rPr>
            </w:pPr>
            <w:r>
              <w:rPr>
                <w:rFonts w:cs="Times New Roman"/>
                <w:i/>
                <w:sz w:val="22"/>
                <w:szCs w:val="22"/>
              </w:rPr>
            </w:r>
          </w:p>
          <w:p>
            <w:pPr>
              <w:pStyle w:val="Normal"/>
              <w:widowControl w:val="false"/>
              <w:rPr>
                <w:rFonts w:cs="Times New Roman"/>
                <w:i/>
                <w:i/>
                <w:sz w:val="22"/>
                <w:szCs w:val="22"/>
              </w:rPr>
            </w:pPr>
            <w:r>
              <w:rPr>
                <w:rFonts w:cs="Times New Roman"/>
                <w:i/>
                <w:sz w:val="22"/>
                <w:szCs w:val="22"/>
              </w:rPr>
              <w:t>Validation</w:t>
            </w:r>
          </w:p>
          <w:p>
            <w:pPr>
              <w:pStyle w:val="Normal"/>
              <w:widowControl w:val="false"/>
              <w:rPr>
                <w:rFonts w:cs="Times New Roman"/>
                <w:sz w:val="22"/>
                <w:szCs w:val="22"/>
              </w:rPr>
            </w:pPr>
            <w:r>
              <w:rPr>
                <w:rFonts w:cs="Times New Roman"/>
                <w:sz w:val="22"/>
                <w:szCs w:val="22"/>
              </w:rPr>
              <w:t>V1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44.21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-100.22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548</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-113.4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12.3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Fort Pierre, SD</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44.2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-69.4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60</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-105.6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Jefferson, ME</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42.58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-85.6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242</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-100.4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23.3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Grand Rapids, MI</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42.4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-76.5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346</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-120.7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16.2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Ithaca, NY</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-76.3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97</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-120.5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0.8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Lancaster, PA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36.9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-80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373</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-97.6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Ferrum, VA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35.93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-86.01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313</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-86.2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16.5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Madison, TN</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35.27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-97.29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338</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-95.3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Oklahoma City, OK</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29.58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-90.09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0</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-96.4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14.4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Metairie, LA</w:t>
            </w:r>
          </w:p>
        </w:tc>
      </w:tr>
      <w:tr>
        <w:trPr/>
        <w:tc>
          <w:tcPr>
            <w:tcW w:w="1345" w:type="dxa"/>
            <w:tcBorders>
              <w:top w:val="nil"/>
              <w:left w:val="nil"/>
              <w:bottom w:val="single" w:sz="12" w:space="0" w:color="00000A"/>
              <w:right w:val="nil"/>
              <w:insideH w:val="single" w:sz="12" w:space="0" w:color="00000A"/>
              <w:insideV w:val="nil"/>
            </w:tcBorders>
            <w:shd w:fill="auto" w:val="clear"/>
          </w:tcPr>
          <w:p>
            <w:pPr>
              <w:pStyle w:val="Normal"/>
              <w:widowControl w:val="false"/>
              <w:rPr>
                <w:rFonts w:cs="Times New Roman"/>
                <w:sz w:val="22"/>
                <w:szCs w:val="22"/>
              </w:rPr>
            </w:pPr>
            <w:r>
              <w:rPr>
                <w:rFonts w:cs="Times New Roman"/>
                <w:sz w:val="22"/>
                <w:szCs w:val="22"/>
              </w:rPr>
              <w:t>V10</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29.14</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-98.37</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168</w:t>
            </w:r>
          </w:p>
        </w:tc>
        <w:tc>
          <w:tcPr>
            <w:tcW w:w="1348"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-82</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7.1</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3.6</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San Antonio, TX</w:t>
            </w:r>
          </w:p>
        </w:tc>
      </w:tr>
    </w:tbl>
    <w:p>
      <w:pPr>
        <w:pStyle w:val="Normal"/>
        <w:widowControl w:val="false"/>
        <w:rPr>
          <w:b/>
          <w:b/>
        </w:rPr>
      </w:pPr>
      <w:r>
        <w:rPr>
          <w:b/>
        </w:rPr>
      </w:r>
      <w:r>
        <w:br w:type="page"/>
      </w:r>
    </w:p>
    <w:p>
      <w:pPr>
        <w:pStyle w:val="Normal"/>
        <w:widowControl w:val="false"/>
        <w:tabs>
          <w:tab w:val="left" w:pos="3510" w:leader="none"/>
        </w:tabs>
        <w:rPr/>
      </w:pPr>
      <w:r>
        <w:rPr>
          <w:b/>
        </w:rPr>
        <w:t>Table S2.</w:t>
      </w:r>
      <w:r>
        <w:rPr/>
        <w:t xml:space="preserve"> Reed warbler sampling site latitude, longitude, elevation, as well as mean, range, SD of </w:t>
      </w:r>
      <w:r>
        <w:rPr>
          <w:rFonts w:cs="Times New Roman"/>
          <w:i/>
        </w:rPr>
        <w:t>δ</w:t>
      </w:r>
      <w:r>
        <w:rPr>
          <w:vertAlign w:val="superscript"/>
        </w:rPr>
        <w:t>2</w:t>
      </w:r>
      <w:r>
        <w:rPr/>
        <w:t>H</w:t>
      </w:r>
      <w:r>
        <w:rPr>
          <w:vertAlign w:val="subscript"/>
        </w:rPr>
        <w:t>tissue</w:t>
      </w:r>
      <w:r>
        <w:rPr/>
        <w:t xml:space="preserve"> values and number of individuals sampled (divided by calibration and validation sites).  Original data from Procházka et al. (2013).</w:t>
      </w:r>
    </w:p>
    <w:tbl>
      <w:tblPr>
        <w:tblStyle w:val="TableGrid"/>
        <w:tblW w:w="13155" w:type="dxa"/>
        <w:jc w:val="left"/>
        <w:tblInd w:w="0" w:type="dxa"/>
        <w:tblCellMar>
          <w:top w:w="0" w:type="dxa"/>
          <w:left w:w="108" w:type="dxa"/>
          <w:bottom w:w="0" w:type="dxa"/>
          <w:right w:w="108" w:type="dxa"/>
        </w:tblCellMar>
        <w:tblLook w:val="04a0" w:noVBand="1" w:noHBand="0" w:lastColumn="0" w:firstColumn="1" w:lastRow="0" w:firstRow="1"/>
      </w:tblPr>
      <w:tblGrid>
        <w:gridCol w:w="1345"/>
        <w:gridCol w:w="1347"/>
        <w:gridCol w:w="1347"/>
        <w:gridCol w:w="1347"/>
        <w:gridCol w:w="1348"/>
        <w:gridCol w:w="1347"/>
        <w:gridCol w:w="1347"/>
        <w:gridCol w:w="1347"/>
        <w:gridCol w:w="2378"/>
      </w:tblGrid>
      <w:tr>
        <w:trPr/>
        <w:tc>
          <w:tcPr>
            <w:tcW w:w="1345"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rPr>
                <w:rFonts w:cs="Times New Roman"/>
                <w:b/>
                <w:b/>
                <w:sz w:val="22"/>
                <w:szCs w:val="22"/>
              </w:rPr>
            </w:pPr>
            <w:r>
              <w:rPr>
                <w:rFonts w:cs="Times New Roman"/>
                <w:b/>
                <w:sz w:val="22"/>
                <w:szCs w:val="22"/>
              </w:rPr>
              <w:t>Site ID</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Latitude</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Longitude</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Elevation (m)</w:t>
            </w:r>
          </w:p>
        </w:tc>
        <w:tc>
          <w:tcPr>
            <w:tcW w:w="1348"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i/>
                <w:i/>
                <w:sz w:val="22"/>
                <w:szCs w:val="22"/>
              </w:rPr>
            </w:pPr>
            <w:r>
              <w:rPr>
                <w:rFonts w:cs="Times New Roman"/>
                <w:b/>
                <w:sz w:val="22"/>
                <w:szCs w:val="22"/>
              </w:rPr>
              <w:t xml:space="preserve">Mean </w:t>
            </w:r>
          </w:p>
          <w:p>
            <w:pPr>
              <w:pStyle w:val="Normal"/>
              <w:widowControl w:val="false"/>
              <w:jc w:val="center"/>
              <w:rPr>
                <w:rFonts w:cs="Times New Roman"/>
                <w:b/>
                <w:b/>
                <w:sz w:val="22"/>
                <w:szCs w:val="22"/>
              </w:rPr>
            </w:pPr>
            <w:r>
              <w:rPr>
                <w:rFonts w:cs="Times New Roman"/>
                <w:b/>
                <w:i/>
                <w:sz w:val="22"/>
                <w:szCs w:val="22"/>
              </w:rPr>
              <w:t>δ</w:t>
            </w:r>
            <w:r>
              <w:rPr>
                <w:rFonts w:cs="Times New Roman"/>
                <w:b/>
                <w:sz w:val="22"/>
                <w:szCs w:val="22"/>
                <w:vertAlign w:val="superscript"/>
              </w:rPr>
              <w:t>2</w:t>
            </w:r>
            <w:r>
              <w:rPr>
                <w:rFonts w:cs="Times New Roman"/>
                <w:b/>
                <w:sz w:val="22"/>
                <w:szCs w:val="22"/>
              </w:rPr>
              <w:t>H (‰)</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 xml:space="preserve">Range </w:t>
            </w:r>
            <w:r>
              <w:rPr>
                <w:rFonts w:cs="Times New Roman"/>
                <w:b/>
                <w:i/>
                <w:sz w:val="22"/>
                <w:szCs w:val="22"/>
              </w:rPr>
              <w:t>δ</w:t>
            </w:r>
            <w:r>
              <w:rPr>
                <w:rFonts w:cs="Times New Roman"/>
                <w:b/>
                <w:sz w:val="22"/>
                <w:szCs w:val="22"/>
                <w:vertAlign w:val="superscript"/>
              </w:rPr>
              <w:t>2</w:t>
            </w:r>
            <w:r>
              <w:rPr>
                <w:rFonts w:cs="Times New Roman"/>
                <w:b/>
                <w:sz w:val="22"/>
                <w:szCs w:val="22"/>
              </w:rPr>
              <w:t>H (‰)</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SD</w:t>
            </w:r>
          </w:p>
        </w:tc>
        <w:tc>
          <w:tcPr>
            <w:tcW w:w="1347"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n</w:t>
            </w:r>
          </w:p>
        </w:tc>
        <w:tc>
          <w:tcPr>
            <w:tcW w:w="2378" w:type="dxa"/>
            <w:tcBorders>
              <w:top w:val="single" w:sz="12" w:space="0" w:color="00000A"/>
              <w:left w:val="nil"/>
              <w:bottom w:val="single" w:sz="12" w:space="0" w:color="00000A"/>
              <w:right w:val="nil"/>
              <w:insideH w:val="single" w:sz="12" w:space="0" w:color="00000A"/>
              <w:insideV w:val="nil"/>
            </w:tcBorders>
            <w:shd w:fill="auto" w:val="clear"/>
          </w:tcPr>
          <w:p>
            <w:pPr>
              <w:pStyle w:val="Normal"/>
              <w:widowControl w:val="false"/>
              <w:jc w:val="center"/>
              <w:rPr>
                <w:rFonts w:cs="Times New Roman"/>
                <w:b/>
                <w:b/>
                <w:sz w:val="22"/>
                <w:szCs w:val="22"/>
              </w:rPr>
            </w:pPr>
            <w:r>
              <w:rPr>
                <w:rFonts w:cs="Times New Roman"/>
                <w:b/>
                <w:sz w:val="22"/>
                <w:szCs w:val="22"/>
              </w:rPr>
              <w:t>Location</w:t>
            </w:r>
          </w:p>
        </w:tc>
      </w:tr>
      <w:tr>
        <w:trPr/>
        <w:tc>
          <w:tcPr>
            <w:tcW w:w="1345" w:type="dxa"/>
            <w:tcBorders>
              <w:top w:val="single" w:sz="12" w:space="0" w:color="00000A"/>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All sites</w:t>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cs="Times New Roman"/>
                <w:sz w:val="22"/>
                <w:szCs w:val="22"/>
              </w:rPr>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cs="Times New Roman"/>
                <w:sz w:val="22"/>
                <w:szCs w:val="22"/>
              </w:rPr>
            </w:r>
          </w:p>
        </w:tc>
        <w:tc>
          <w:tcPr>
            <w:tcW w:w="1347" w:type="dxa"/>
            <w:tcBorders>
              <w:top w:val="single" w:sz="12" w:space="0" w:color="00000A"/>
              <w:left w:val="nil"/>
              <w:bottom w:val="nil"/>
              <w:right w:val="nil"/>
              <w:insideH w:val="nil"/>
              <w:insideV w:val="nil"/>
            </w:tcBorders>
            <w:shd w:fill="auto" w:val="clear"/>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r>
          </w:p>
        </w:tc>
        <w:tc>
          <w:tcPr>
            <w:tcW w:w="1348"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-119</w:t>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112.7</w:t>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2.4</w:t>
            </w:r>
          </w:p>
        </w:tc>
        <w:tc>
          <w:tcPr>
            <w:tcW w:w="1347"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214</w:t>
            </w:r>
          </w:p>
        </w:tc>
        <w:tc>
          <w:tcPr>
            <w:tcW w:w="2378" w:type="dxa"/>
            <w:tcBorders>
              <w:top w:val="single" w:sz="12" w:space="0" w:color="00000A"/>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i/>
                <w:i/>
                <w:sz w:val="22"/>
                <w:szCs w:val="22"/>
              </w:rPr>
            </w:pPr>
            <w:r>
              <w:rPr>
                <w:rFonts w:cs="Times New Roman"/>
                <w:i/>
                <w:sz w:val="22"/>
                <w:szCs w:val="22"/>
              </w:rPr>
            </w:r>
          </w:p>
          <w:p>
            <w:pPr>
              <w:pStyle w:val="Normal"/>
              <w:widowControl w:val="false"/>
              <w:rPr>
                <w:rFonts w:cs="Times New Roman"/>
                <w:i/>
                <w:i/>
                <w:sz w:val="22"/>
                <w:szCs w:val="22"/>
              </w:rPr>
            </w:pPr>
            <w:r>
              <w:rPr>
                <w:rFonts w:cs="Times New Roman"/>
                <w:i/>
                <w:sz w:val="22"/>
                <w:szCs w:val="22"/>
              </w:rPr>
              <w:t>Calibration</w:t>
            </w:r>
          </w:p>
          <w:p>
            <w:pPr>
              <w:pStyle w:val="Normal"/>
              <w:widowControl w:val="false"/>
              <w:rPr>
                <w:rFonts w:cs="Times New Roman"/>
                <w:sz w:val="22"/>
                <w:szCs w:val="22"/>
              </w:rPr>
            </w:pPr>
            <w:r>
              <w:rPr>
                <w:rFonts w:cs="Times New Roman"/>
                <w:sz w:val="22"/>
                <w:szCs w:val="22"/>
              </w:rPr>
              <w:t>C1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60.4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22.3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17</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-98.9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21.9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15</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Rauvola, Finland</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59.42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10.82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25</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-95.2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Blixoya, Norway</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54.38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19.42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-95.9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13.2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Sikierki, Poland</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54.23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10.27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31</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-83.8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18.3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Scharsee, Germany</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52.52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5.48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0</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-87.2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18.3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Almere, Netherlands</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49.97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23.47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249</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-70.5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25.9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Cholgyni, Ukraine</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48.9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17.03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167</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-78.1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Luzice, Czech Republic</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48.53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17.85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146</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29.8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Trnava, Slovakia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39</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-79.1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16.8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Trunvel, France</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45.57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15.63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110</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-52.3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24.4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Draganic, Croatia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43.88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15.55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23.8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Vransko Lake, Croatia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38.08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-8.78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-51.2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12.9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Santo Andre, Portugal</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C13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31.82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36.8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508</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-115.6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20</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Azraq, Jordan</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i/>
                <w:i/>
                <w:sz w:val="22"/>
                <w:szCs w:val="22"/>
              </w:rPr>
            </w:pPr>
            <w:r>
              <w:rPr>
                <w:rFonts w:cs="Times New Roman"/>
                <w:i/>
                <w:sz w:val="22"/>
                <w:szCs w:val="22"/>
              </w:rPr>
            </w:r>
          </w:p>
          <w:p>
            <w:pPr>
              <w:pStyle w:val="Normal"/>
              <w:widowControl w:val="false"/>
              <w:rPr>
                <w:rFonts w:cs="Times New Roman"/>
                <w:i/>
                <w:i/>
                <w:sz w:val="22"/>
                <w:szCs w:val="22"/>
              </w:rPr>
            </w:pPr>
            <w:r>
              <w:rPr>
                <w:rFonts w:cs="Times New Roman"/>
                <w:i/>
                <w:sz w:val="22"/>
                <w:szCs w:val="22"/>
              </w:rPr>
              <w:t>Validation</w:t>
            </w:r>
          </w:p>
          <w:p>
            <w:pPr>
              <w:pStyle w:val="Normal"/>
              <w:widowControl w:val="false"/>
              <w:rPr>
                <w:rFonts w:cs="Times New Roman"/>
                <w:sz w:val="22"/>
                <w:szCs w:val="22"/>
              </w:rPr>
            </w:pPr>
            <w:r>
              <w:rPr>
                <w:rFonts w:cs="Times New Roman"/>
                <w:sz w:val="22"/>
                <w:szCs w:val="22"/>
              </w:rPr>
              <w:t>V1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59.9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29.85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-113.1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23.8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St. Petersburg, Russia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55.35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21.22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-89.6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Ventes Ragas, Lithuania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52.3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24.35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152</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-83.3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Bereza, Belarus</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51.92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-3.27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155</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-101.1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13.1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Llangorse, UK</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49.88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16.28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374</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-91.4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Osik, Czech Republic</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49.65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10.83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290</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-91.4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14.3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Poppenwind, Germany</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46.78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19.35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95</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-57.2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21.6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Kolon Lake, Hungary</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43.25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-8.58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75</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-74.6</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Barranan, Spain</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42.92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22.92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701</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-55.4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21.9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10.4</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Dragoman, Bulgaria</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V10</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42.07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cs="Times New Roman"/>
                <w:sz w:val="22"/>
                <w:szCs w:val="22"/>
              </w:rPr>
            </w:pPr>
            <w:r>
              <w:rPr>
                <w:rFonts w:eastAsia="Times New Roman" w:cs="Times New Roman"/>
                <w:color w:val="000000"/>
                <w:sz w:val="22"/>
                <w:szCs w:val="22"/>
              </w:rPr>
              <w:t>-4.75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741</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-46.7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37.1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10.5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La Nava, Spain</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V11</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41.15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14.3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25</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-28.7</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Lagnone, Italy</w:t>
            </w:r>
          </w:p>
        </w:tc>
      </w:tr>
      <w:tr>
        <w:trPr/>
        <w:tc>
          <w:tcPr>
            <w:tcW w:w="1345" w:type="dxa"/>
            <w:tcBorders>
              <w:top w:val="nil"/>
              <w:left w:val="nil"/>
              <w:bottom w:val="nil"/>
              <w:right w:val="nil"/>
              <w:insideH w:val="nil"/>
              <w:insideV w:val="nil"/>
            </w:tcBorders>
            <w:shd w:fill="auto" w:val="clear"/>
          </w:tcPr>
          <w:p>
            <w:pPr>
              <w:pStyle w:val="Normal"/>
              <w:widowControl w:val="false"/>
              <w:rPr>
                <w:rFonts w:cs="Times New Roman"/>
                <w:sz w:val="22"/>
                <w:szCs w:val="22"/>
              </w:rPr>
            </w:pPr>
            <w:r>
              <w:rPr>
                <w:rFonts w:cs="Times New Roman"/>
                <w:sz w:val="22"/>
                <w:szCs w:val="22"/>
              </w:rPr>
              <w:t>V12</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35.95</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14.38</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w:t>
            </w:r>
          </w:p>
        </w:tc>
        <w:tc>
          <w:tcPr>
            <w:tcW w:w="134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-25.3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21.9</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7.3</w:t>
            </w:r>
          </w:p>
        </w:tc>
        <w:tc>
          <w:tcPr>
            <w:tcW w:w="1347"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8</w:t>
            </w:r>
          </w:p>
        </w:tc>
        <w:tc>
          <w:tcPr>
            <w:tcW w:w="2378" w:type="dxa"/>
            <w:tcBorders>
              <w:top w:val="nil"/>
              <w:left w:val="nil"/>
              <w:bottom w:val="nil"/>
              <w:right w:val="nil"/>
              <w:insideH w:val="nil"/>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Is-Simar, Malta</w:t>
            </w:r>
          </w:p>
        </w:tc>
      </w:tr>
      <w:tr>
        <w:trPr/>
        <w:tc>
          <w:tcPr>
            <w:tcW w:w="1345" w:type="dxa"/>
            <w:tcBorders>
              <w:top w:val="nil"/>
              <w:left w:val="nil"/>
              <w:bottom w:val="single" w:sz="12" w:space="0" w:color="00000A"/>
              <w:right w:val="nil"/>
              <w:insideH w:val="single" w:sz="12" w:space="0" w:color="00000A"/>
              <w:insideV w:val="nil"/>
            </w:tcBorders>
            <w:shd w:fill="auto" w:val="clear"/>
          </w:tcPr>
          <w:p>
            <w:pPr>
              <w:pStyle w:val="Normal"/>
              <w:widowControl w:val="false"/>
              <w:rPr>
                <w:rFonts w:cs="Times New Roman"/>
                <w:sz w:val="22"/>
                <w:szCs w:val="22"/>
              </w:rPr>
            </w:pPr>
            <w:r>
              <w:rPr>
                <w:rFonts w:cs="Times New Roman"/>
                <w:sz w:val="22"/>
                <w:szCs w:val="22"/>
              </w:rPr>
              <w:t>V13</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35.63</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-5.25</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25</w:t>
            </w:r>
          </w:p>
        </w:tc>
        <w:tc>
          <w:tcPr>
            <w:tcW w:w="1348"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-119</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11.4</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3.9</w:t>
            </w:r>
          </w:p>
        </w:tc>
        <w:tc>
          <w:tcPr>
            <w:tcW w:w="1347"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6</w:t>
            </w:r>
          </w:p>
        </w:tc>
        <w:tc>
          <w:tcPr>
            <w:tcW w:w="2378" w:type="dxa"/>
            <w:tcBorders>
              <w:top w:val="nil"/>
              <w:left w:val="nil"/>
              <w:bottom w:val="single" w:sz="12" w:space="0" w:color="00000A"/>
              <w:right w:val="nil"/>
              <w:insideH w:val="single" w:sz="12" w:space="0" w:color="00000A"/>
              <w:insideV w:val="nil"/>
            </w:tcBorders>
            <w:shd w:fill="auto" w:val="clear"/>
            <w:vAlign w:val="bottom"/>
          </w:tcPr>
          <w:p>
            <w:pPr>
              <w:pStyle w:val="Normal"/>
              <w:widowControl w:val="false"/>
              <w:jc w:val="center"/>
              <w:rPr>
                <w:rFonts w:eastAsia="Times New Roman" w:cs="Times New Roman"/>
                <w:color w:val="000000"/>
                <w:sz w:val="22"/>
                <w:szCs w:val="22"/>
              </w:rPr>
            </w:pPr>
            <w:r>
              <w:rPr>
                <w:rFonts w:eastAsia="Times New Roman" w:cs="Times New Roman"/>
                <w:color w:val="000000"/>
                <w:sz w:val="22"/>
                <w:szCs w:val="22"/>
              </w:rPr>
              <w:t>Smir, Morocco</w:t>
            </w:r>
          </w:p>
        </w:tc>
      </w:tr>
    </w:tbl>
    <w:p>
      <w:pPr>
        <w:sectPr>
          <w:footerReference w:type="default" r:id="rId3"/>
          <w:type w:val="nextPage"/>
          <w:pgSz w:orient="landscape" w:w="15840" w:h="12240"/>
          <w:pgMar w:left="1440" w:right="1440" w:header="0" w:top="1440" w:footer="720" w:bottom="1440" w:gutter="0"/>
          <w:pgNumType w:fmt="decimal"/>
          <w:formProt w:val="false"/>
          <w:textDirection w:val="lrTb"/>
          <w:docGrid w:type="default" w:linePitch="360" w:charSpace="4294961151"/>
        </w:sectPr>
        <w:pStyle w:val="Normal"/>
        <w:widowControl w:val="false"/>
        <w:rPr>
          <w:b/>
          <w:b/>
        </w:rPr>
      </w:pPr>
      <w:r>
        <w:rPr>
          <w:b/>
        </w:rPr>
      </w:r>
    </w:p>
    <w:p>
      <w:pPr>
        <w:pStyle w:val="Normal"/>
        <w:widowControl w:val="false"/>
        <w:tabs>
          <w:tab w:val="left" w:pos="3510" w:leader="none"/>
        </w:tabs>
        <w:rPr/>
      </w:pPr>
      <w:r>
        <w:rPr/>
        <w:drawing>
          <wp:inline distT="0" distB="0" distL="0" distR="0">
            <wp:extent cx="2672080" cy="2692400"/>
            <wp:effectExtent l="0" t="0" r="0" b="0"/>
            <wp:docPr id="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
                    <pic:cNvPicPr>
                      <a:picLocks noChangeAspect="1" noChangeArrowheads="1"/>
                    </pic:cNvPicPr>
                  </pic:nvPicPr>
                  <pic:blipFill>
                    <a:blip r:embed="rId4"/>
                    <a:srcRect l="0" t="9525" r="16510" b="6351"/>
                    <a:stretch>
                      <a:fillRect/>
                    </a:stretch>
                  </pic:blipFill>
                  <pic:spPr bwMode="auto">
                    <a:xfrm>
                      <a:off x="0" y="0"/>
                      <a:ext cx="2672080" cy="2692400"/>
                    </a:xfrm>
                    <a:prstGeom prst="rect">
                      <a:avLst/>
                    </a:prstGeom>
                  </pic:spPr>
                </pic:pic>
              </a:graphicData>
            </a:graphic>
          </wp:inline>
        </w:drawing>
      </w:r>
      <w:r>
        <w:rPr/>
        <w:drawing>
          <wp:inline distT="0" distB="0" distL="0" distR="0">
            <wp:extent cx="3200400" cy="2692400"/>
            <wp:effectExtent l="0" t="0" r="0" b="0"/>
            <wp:docPr id="3"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0" descr=""/>
                    <pic:cNvPicPr>
                      <a:picLocks noChangeAspect="1" noChangeArrowheads="1"/>
                    </pic:cNvPicPr>
                  </pic:nvPicPr>
                  <pic:blipFill>
                    <a:blip r:embed="rId5"/>
                    <a:srcRect l="0" t="8891" r="0" b="6988"/>
                    <a:stretch>
                      <a:fillRect/>
                    </a:stretch>
                  </pic:blipFill>
                  <pic:spPr bwMode="auto">
                    <a:xfrm>
                      <a:off x="0" y="0"/>
                      <a:ext cx="3200400" cy="2692400"/>
                    </a:xfrm>
                    <a:prstGeom prst="rect">
                      <a:avLst/>
                    </a:prstGeom>
                  </pic:spPr>
                </pic:pic>
              </a:graphicData>
            </a:graphic>
          </wp:inline>
        </w:drawing>
      </w:r>
      <w:r>
        <w:rPr/>
        <w:drawing>
          <wp:inline distT="0" distB="635" distL="0" distR="0">
            <wp:extent cx="2675255" cy="2691765"/>
            <wp:effectExtent l="0" t="0" r="0" b="0"/>
            <wp:docPr id="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8" descr=""/>
                    <pic:cNvPicPr>
                      <a:picLocks noChangeAspect="1" noChangeArrowheads="1"/>
                    </pic:cNvPicPr>
                  </pic:nvPicPr>
                  <pic:blipFill>
                    <a:blip r:embed="rId6"/>
                    <a:srcRect l="0" t="8246" r="15938" b="7163"/>
                    <a:stretch>
                      <a:fillRect/>
                    </a:stretch>
                  </pic:blipFill>
                  <pic:spPr bwMode="auto">
                    <a:xfrm>
                      <a:off x="0" y="0"/>
                      <a:ext cx="2675255" cy="2691765"/>
                    </a:xfrm>
                    <a:prstGeom prst="rect">
                      <a:avLst/>
                    </a:prstGeom>
                  </pic:spPr>
                </pic:pic>
              </a:graphicData>
            </a:graphic>
          </wp:inline>
        </w:drawing>
      </w:r>
      <w:r>
        <w:rPr/>
        <w:drawing>
          <wp:inline distT="0" distB="0" distL="0" distR="635">
            <wp:extent cx="3199765" cy="2692400"/>
            <wp:effectExtent l="0" t="0" r="0" b="0"/>
            <wp:docPr id="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0" descr=""/>
                    <pic:cNvPicPr>
                      <a:picLocks noChangeAspect="1" noChangeArrowheads="1"/>
                    </pic:cNvPicPr>
                  </pic:nvPicPr>
                  <pic:blipFill>
                    <a:blip r:embed="rId7"/>
                    <a:srcRect l="0" t="8996" r="0" b="6866"/>
                    <a:stretch>
                      <a:fillRect/>
                    </a:stretch>
                  </pic:blipFill>
                  <pic:spPr bwMode="auto">
                    <a:xfrm>
                      <a:off x="0" y="0"/>
                      <a:ext cx="3199765" cy="2692400"/>
                    </a:xfrm>
                    <a:prstGeom prst="rect">
                      <a:avLst/>
                    </a:prstGeom>
                  </pic:spPr>
                </pic:pic>
              </a:graphicData>
            </a:graphic>
          </wp:inline>
        </w:drawing>
      </w:r>
      <w:r>
        <w:rPr/>
        <w:drawing>
          <wp:inline distT="0" distB="635" distL="0" distR="5080">
            <wp:extent cx="2687320" cy="2691765"/>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8"/>
                    <a:srcRect l="0" t="8731" r="16026" b="7140"/>
                    <a:stretch>
                      <a:fillRect/>
                    </a:stretch>
                  </pic:blipFill>
                  <pic:spPr bwMode="auto">
                    <a:xfrm>
                      <a:off x="0" y="0"/>
                      <a:ext cx="2687320" cy="2691765"/>
                    </a:xfrm>
                    <a:prstGeom prst="rect">
                      <a:avLst/>
                    </a:prstGeom>
                  </pic:spPr>
                </pic:pic>
              </a:graphicData>
            </a:graphic>
          </wp:inline>
        </w:drawing>
      </w:r>
      <w:r>
        <w:rPr/>
        <w:drawing>
          <wp:inline distT="0" distB="0" distL="0" distR="0">
            <wp:extent cx="3200400" cy="2692400"/>
            <wp:effectExtent l="0" t="0" r="0" b="0"/>
            <wp:docPr id="7"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5" descr=""/>
                    <pic:cNvPicPr>
                      <a:picLocks noChangeAspect="1" noChangeArrowheads="1"/>
                    </pic:cNvPicPr>
                  </pic:nvPicPr>
                  <pic:blipFill>
                    <a:blip r:embed="rId9"/>
                    <a:srcRect l="0" t="8729" r="0" b="7142"/>
                    <a:stretch>
                      <a:fillRect/>
                    </a:stretch>
                  </pic:blipFill>
                  <pic:spPr bwMode="auto">
                    <a:xfrm>
                      <a:off x="0" y="0"/>
                      <a:ext cx="3200400" cy="2692400"/>
                    </a:xfrm>
                    <a:prstGeom prst="rect">
                      <a:avLst/>
                    </a:prstGeom>
                  </pic:spPr>
                </pic:pic>
              </a:graphicData>
            </a:graphic>
          </wp:inline>
        </w:drawing>
      </w:r>
    </w:p>
    <w:p>
      <w:pPr>
        <w:pStyle w:val="Normal"/>
        <w:widowControl w:val="false"/>
        <w:rPr/>
      </w:pPr>
      <w:r>
        <w:rPr>
          <w:b/>
        </w:rPr>
        <w:t>Fig. S1.</w:t>
      </w:r>
      <w:r>
        <w:rPr/>
        <w:t xml:space="preserve"> Values of </w:t>
      </w:r>
      <w:r>
        <w:rPr>
          <w:rFonts w:eastAsia="Symbol" w:cs="Symbol" w:ascii="Symbol" w:hAnsi="Symbol"/>
          <w:i/>
        </w:rPr>
        <w:t></w:t>
      </w:r>
      <w:r>
        <w:rPr>
          <w:vertAlign w:val="superscript"/>
        </w:rPr>
        <w:t>2</w:t>
      </w:r>
      <w:r>
        <w:rPr/>
        <w:t xml:space="preserve">H in precipitation across North America and Europe representing short- (a, c, d, e) and long-term (b, f) time periods. (a) 1996, (b) 1960-2000, (c) 2004, (d) 2005, (e) 2006, (f) 1960-2006. </w:t>
      </w:r>
      <w:r>
        <w:rPr/>
        <w:drawing>
          <wp:inline distT="0" distB="0" distL="0" distR="0">
            <wp:extent cx="3022600" cy="2971800"/>
            <wp:effectExtent l="0" t="0" r="0" b="0"/>
            <wp:docPr id="8"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descr=""/>
                    <pic:cNvPicPr>
                      <a:picLocks noChangeAspect="1" noChangeArrowheads="1"/>
                    </pic:cNvPicPr>
                  </pic:nvPicPr>
                  <pic:blipFill>
                    <a:blip r:embed="rId10"/>
                    <a:srcRect l="0" t="0" r="5556" b="7144"/>
                    <a:stretch>
                      <a:fillRect/>
                    </a:stretch>
                  </pic:blipFill>
                  <pic:spPr bwMode="auto">
                    <a:xfrm>
                      <a:off x="0" y="0"/>
                      <a:ext cx="3022600" cy="2971800"/>
                    </a:xfrm>
                    <a:prstGeom prst="rect">
                      <a:avLst/>
                    </a:prstGeom>
                  </pic:spPr>
                </pic:pic>
              </a:graphicData>
            </a:graphic>
          </wp:inline>
        </w:drawing>
      </w:r>
      <w:r>
        <w:rPr/>
        <w:drawing>
          <wp:inline distT="0" distB="0" distL="0" distR="8890">
            <wp:extent cx="2811145" cy="2971800"/>
            <wp:effectExtent l="0" t="0" r="0" b="0"/>
            <wp:docPr id="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6" descr=""/>
                    <pic:cNvPicPr>
                      <a:picLocks noChangeAspect="1" noChangeArrowheads="1"/>
                    </pic:cNvPicPr>
                  </pic:nvPicPr>
                  <pic:blipFill>
                    <a:blip r:embed="rId11"/>
                    <a:srcRect l="7144" t="0" r="5026" b="7144"/>
                    <a:stretch>
                      <a:fillRect/>
                    </a:stretch>
                  </pic:blipFill>
                  <pic:spPr bwMode="auto">
                    <a:xfrm>
                      <a:off x="0" y="0"/>
                      <a:ext cx="2811145" cy="2971800"/>
                    </a:xfrm>
                    <a:prstGeom prst="rect">
                      <a:avLst/>
                    </a:prstGeom>
                  </pic:spPr>
                </pic:pic>
              </a:graphicData>
            </a:graphic>
          </wp:inline>
        </w:drawing>
      </w:r>
      <w:r>
        <w:br w:type="page"/>
      </w:r>
    </w:p>
    <w:p>
      <w:pPr>
        <w:pStyle w:val="Normal"/>
        <w:widowControl w:val="false"/>
        <w:rPr/>
      </w:pPr>
      <w:r>
        <w:rPr/>
        <w:drawing>
          <wp:inline distT="0" distB="0" distL="0" distR="0">
            <wp:extent cx="3058160" cy="3058160"/>
            <wp:effectExtent l="0" t="0" r="0" b="0"/>
            <wp:docPr id="10"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7" descr=""/>
                    <pic:cNvPicPr>
                      <a:picLocks noChangeAspect="1" noChangeArrowheads="1"/>
                    </pic:cNvPicPr>
                  </pic:nvPicPr>
                  <pic:blipFill>
                    <a:blip r:embed="rId12"/>
                    <a:stretch>
                      <a:fillRect/>
                    </a:stretch>
                  </pic:blipFill>
                  <pic:spPr bwMode="auto">
                    <a:xfrm>
                      <a:off x="0" y="0"/>
                      <a:ext cx="3058160" cy="3058160"/>
                    </a:xfrm>
                    <a:prstGeom prst="rect">
                      <a:avLst/>
                    </a:prstGeom>
                  </pic:spPr>
                </pic:pic>
              </a:graphicData>
            </a:graphic>
          </wp:inline>
        </w:drawing>
      </w:r>
      <w:r>
        <w:rPr/>
        <w:drawing>
          <wp:inline distT="0" distB="635" distL="0" distR="0">
            <wp:extent cx="2751455" cy="3199765"/>
            <wp:effectExtent l="0" t="0" r="0" b="0"/>
            <wp:docPr id="11"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0" descr=""/>
                    <pic:cNvPicPr>
                      <a:picLocks noChangeAspect="1" noChangeArrowheads="1"/>
                    </pic:cNvPicPr>
                  </pic:nvPicPr>
                  <pic:blipFill>
                    <a:blip r:embed="rId13"/>
                    <a:srcRect l="9525" t="0" r="4484" b="0"/>
                    <a:stretch>
                      <a:fillRect/>
                    </a:stretch>
                  </pic:blipFill>
                  <pic:spPr bwMode="auto">
                    <a:xfrm>
                      <a:off x="0" y="0"/>
                      <a:ext cx="2751455" cy="3199765"/>
                    </a:xfrm>
                    <a:prstGeom prst="rect">
                      <a:avLst/>
                    </a:prstGeom>
                  </pic:spPr>
                </pic:pic>
              </a:graphicData>
            </a:graphic>
          </wp:inline>
        </w:drawing>
      </w:r>
    </w:p>
    <w:p>
      <w:pPr>
        <w:pStyle w:val="Normal"/>
        <w:widowControl w:val="false"/>
        <w:rPr/>
      </w:pPr>
      <w:r>
        <w:rPr>
          <w:b/>
        </w:rPr>
        <w:t>Fig. S2.</w:t>
      </w:r>
      <w:r>
        <w:rPr/>
        <w:t xml:space="preserve"> Rescaling functions used to convert precipitation isoscapes to tissue-specific isoscapes with ordinary least squares regression.  The precipitation values were extracted from the short- and long-term isoscapes from the known origin of the calibration samples.  (a) Short-term (</w:t>
      </w:r>
      <w:r>
        <w:rPr>
          <w:i/>
        </w:rPr>
        <w:t>r</w:t>
      </w:r>
      <w:r>
        <w:rPr>
          <w:i/>
          <w:vertAlign w:val="superscript"/>
        </w:rPr>
        <w:t>2</w:t>
      </w:r>
      <w:r>
        <w:rPr/>
        <w:t xml:space="preserve"> = 0.54) and (b) long-term (</w:t>
      </w:r>
      <w:r>
        <w:rPr>
          <w:i/>
        </w:rPr>
        <w:t>r</w:t>
      </w:r>
      <w:r>
        <w:rPr>
          <w:i/>
          <w:vertAlign w:val="superscript"/>
        </w:rPr>
        <w:t>2</w:t>
      </w:r>
      <w:r>
        <w:rPr/>
        <w:t xml:space="preserve"> = 0.41) rescaling functions for monarch butterfly wing chitin.  (c) Short-term (</w:t>
      </w:r>
      <w:r>
        <w:rPr>
          <w:i/>
        </w:rPr>
        <w:t>r</w:t>
      </w:r>
      <w:r>
        <w:rPr>
          <w:i/>
          <w:vertAlign w:val="superscript"/>
        </w:rPr>
        <w:t>2</w:t>
      </w:r>
      <w:r>
        <w:rPr/>
        <w:t xml:space="preserve"> = 0.65) and (d) long-term (</w:t>
      </w:r>
      <w:r>
        <w:rPr>
          <w:i/>
        </w:rPr>
        <w:t>r</w:t>
      </w:r>
      <w:r>
        <w:rPr>
          <w:i/>
          <w:vertAlign w:val="superscript"/>
        </w:rPr>
        <w:t>2</w:t>
      </w:r>
      <w:r>
        <w:rPr/>
        <w:t xml:space="preserve"> = 0.85) rescaling functions for reed warbler feather keratin.  Gray lines represent the 1000 simulated regressions.</w:t>
      </w:r>
      <w:r>
        <w:br w:type="page"/>
      </w:r>
    </w:p>
    <w:p>
      <w:pPr>
        <w:pStyle w:val="Normal"/>
        <w:widowControl w:val="false"/>
        <w:spacing w:lineRule="auto" w:line="360"/>
        <w:rPr/>
      </w:pPr>
      <w:r>
        <w:rPr/>
        <w:drawing>
          <wp:inline distT="0" distB="0" distL="0" distR="0">
            <wp:extent cx="2692400" cy="2667000"/>
            <wp:effectExtent l="0" t="0" r="0" b="0"/>
            <wp:docPr id="1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1" descr=""/>
                    <pic:cNvPicPr>
                      <a:picLocks noChangeAspect="1" noChangeArrowheads="1"/>
                    </pic:cNvPicPr>
                  </pic:nvPicPr>
                  <pic:blipFill>
                    <a:blip r:embed="rId14"/>
                    <a:srcRect l="0" t="9366" r="15875" b="7303"/>
                    <a:stretch>
                      <a:fillRect/>
                    </a:stretch>
                  </pic:blipFill>
                  <pic:spPr bwMode="auto">
                    <a:xfrm>
                      <a:off x="0" y="0"/>
                      <a:ext cx="2692400" cy="2667000"/>
                    </a:xfrm>
                    <a:prstGeom prst="rect">
                      <a:avLst/>
                    </a:prstGeom>
                  </pic:spPr>
                </pic:pic>
              </a:graphicData>
            </a:graphic>
          </wp:inline>
        </w:drawing>
      </w:r>
      <w:r>
        <w:rPr/>
        <w:drawing>
          <wp:inline distT="0" distB="0" distL="0" distR="0">
            <wp:extent cx="3200400" cy="2673350"/>
            <wp:effectExtent l="0" t="0" r="0" b="0"/>
            <wp:docPr id="13"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
                    <pic:cNvPicPr>
                      <a:picLocks noChangeAspect="1" noChangeArrowheads="1"/>
                    </pic:cNvPicPr>
                  </pic:nvPicPr>
                  <pic:blipFill>
                    <a:blip r:embed="rId15"/>
                    <a:srcRect l="0" t="9484" r="0" b="6988"/>
                    <a:stretch>
                      <a:fillRect/>
                    </a:stretch>
                  </pic:blipFill>
                  <pic:spPr bwMode="auto">
                    <a:xfrm>
                      <a:off x="0" y="0"/>
                      <a:ext cx="3200400" cy="2673350"/>
                    </a:xfrm>
                    <a:prstGeom prst="rect">
                      <a:avLst/>
                    </a:prstGeom>
                  </pic:spPr>
                </pic:pic>
              </a:graphicData>
            </a:graphic>
          </wp:inline>
        </w:drawing>
      </w:r>
      <w:r>
        <w:rPr/>
        <w:drawing>
          <wp:inline distT="0" distB="635" distL="0" distR="8890">
            <wp:extent cx="2683510" cy="2691765"/>
            <wp:effectExtent l="0" t="0" r="0" b="0"/>
            <wp:docPr id="1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9" descr=""/>
                    <pic:cNvPicPr>
                      <a:picLocks noChangeAspect="1" noChangeArrowheads="1"/>
                    </pic:cNvPicPr>
                  </pic:nvPicPr>
                  <pic:blipFill>
                    <a:blip r:embed="rId16"/>
                    <a:srcRect l="0" t="8480" r="15989" b="7257"/>
                    <a:stretch>
                      <a:fillRect/>
                    </a:stretch>
                  </pic:blipFill>
                  <pic:spPr bwMode="auto">
                    <a:xfrm>
                      <a:off x="0" y="0"/>
                      <a:ext cx="2683510" cy="2691765"/>
                    </a:xfrm>
                    <a:prstGeom prst="rect">
                      <a:avLst/>
                    </a:prstGeom>
                  </pic:spPr>
                </pic:pic>
              </a:graphicData>
            </a:graphic>
          </wp:inline>
        </w:drawing>
      </w:r>
      <w:r>
        <w:rPr/>
        <w:drawing>
          <wp:inline distT="0" distB="0" distL="0" distR="5080">
            <wp:extent cx="3195320" cy="2692400"/>
            <wp:effectExtent l="0" t="0" r="0" b="0"/>
            <wp:docPr id="1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
                    <pic:cNvPicPr>
                      <a:picLocks noChangeAspect="1" noChangeArrowheads="1"/>
                    </pic:cNvPicPr>
                  </pic:nvPicPr>
                  <pic:blipFill>
                    <a:blip r:embed="rId17"/>
                    <a:srcRect l="0" t="8743" r="0" b="6996"/>
                    <a:stretch>
                      <a:fillRect/>
                    </a:stretch>
                  </pic:blipFill>
                  <pic:spPr bwMode="auto">
                    <a:xfrm>
                      <a:off x="0" y="0"/>
                      <a:ext cx="3195320" cy="2692400"/>
                    </a:xfrm>
                    <a:prstGeom prst="rect">
                      <a:avLst/>
                    </a:prstGeom>
                  </pic:spPr>
                </pic:pic>
              </a:graphicData>
            </a:graphic>
          </wp:inline>
        </w:drawing>
      </w:r>
      <w:r>
        <w:rPr/>
        <w:drawing>
          <wp:inline distT="0" distB="0" distL="0" distR="0">
            <wp:extent cx="2692400" cy="2692400"/>
            <wp:effectExtent l="0" t="0" r="0" b="0"/>
            <wp:docPr id="1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pic:cNvPicPr>
                      <a:picLocks noChangeAspect="1" noChangeArrowheads="1"/>
                    </pic:cNvPicPr>
                  </pic:nvPicPr>
                  <pic:blipFill>
                    <a:blip r:embed="rId18"/>
                    <a:srcRect l="0" t="8480" r="15734" b="7257"/>
                    <a:stretch>
                      <a:fillRect/>
                    </a:stretch>
                  </pic:blipFill>
                  <pic:spPr bwMode="auto">
                    <a:xfrm>
                      <a:off x="0" y="0"/>
                      <a:ext cx="2692400" cy="2692400"/>
                    </a:xfrm>
                    <a:prstGeom prst="rect">
                      <a:avLst/>
                    </a:prstGeom>
                  </pic:spPr>
                </pic:pic>
              </a:graphicData>
            </a:graphic>
          </wp:inline>
        </w:drawing>
      </w:r>
      <w:r>
        <w:rPr/>
        <w:drawing>
          <wp:inline distT="0" distB="0" distL="0" distR="5080">
            <wp:extent cx="3195320" cy="2692400"/>
            <wp:effectExtent l="0" t="0" r="0" b="0"/>
            <wp:docPr id="1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descr=""/>
                    <pic:cNvPicPr>
                      <a:picLocks noChangeAspect="1" noChangeArrowheads="1"/>
                    </pic:cNvPicPr>
                  </pic:nvPicPr>
                  <pic:blipFill>
                    <a:blip r:embed="rId19"/>
                    <a:srcRect l="0" t="8743" r="0" b="6996"/>
                    <a:stretch>
                      <a:fillRect/>
                    </a:stretch>
                  </pic:blipFill>
                  <pic:spPr bwMode="auto">
                    <a:xfrm>
                      <a:off x="0" y="0"/>
                      <a:ext cx="3195320" cy="2692400"/>
                    </a:xfrm>
                    <a:prstGeom prst="rect">
                      <a:avLst/>
                    </a:prstGeom>
                  </pic:spPr>
                </pic:pic>
              </a:graphicData>
            </a:graphic>
          </wp:inline>
        </w:drawing>
      </w:r>
    </w:p>
    <w:p>
      <w:pPr>
        <w:pStyle w:val="Normal"/>
        <w:widowControl w:val="false"/>
        <w:rPr/>
      </w:pPr>
      <w:r>
        <w:rPr>
          <w:b/>
        </w:rPr>
        <w:t>Fig. S3.</w:t>
      </w:r>
      <w:r>
        <w:rPr/>
        <w:t xml:space="preserve"> Values of </w:t>
      </w:r>
      <w:r>
        <w:rPr>
          <w:rFonts w:eastAsia="Symbol" w:cs="Symbol" w:ascii="Symbol" w:hAnsi="Symbol"/>
        </w:rPr>
        <w:t></w:t>
      </w:r>
      <w:r>
        <w:rPr>
          <w:vertAlign w:val="superscript"/>
        </w:rPr>
        <w:t>2</w:t>
      </w:r>
      <w:r>
        <w:rPr/>
        <w:t>H</w:t>
      </w:r>
      <w:r>
        <w:rPr>
          <w:vertAlign w:val="subscript"/>
        </w:rPr>
        <w:t>tissue</w:t>
      </w:r>
      <w:r>
        <w:rPr/>
        <w:t xml:space="preserve"> in monarch butterfly (North America) and reed warbler (Europe) tissues representing short- (a, c, d, e) and long-term (b, f) time periods. (a) 1996, (b) 1960-2000, (c) 2004, (d) 2005, (e) 2006, (f) 1960-2006.</w:t>
      </w:r>
      <w:r>
        <w:br w:type="page"/>
      </w:r>
    </w:p>
    <w:p>
      <w:pPr>
        <w:pStyle w:val="Normal"/>
        <w:widowControl w:val="false"/>
        <w:rPr/>
      </w:pPr>
      <w:r>
        <w:rPr/>
        <w:drawing>
          <wp:inline distT="0" distB="0" distL="0" distR="6350">
            <wp:extent cx="2686050" cy="2692400"/>
            <wp:effectExtent l="0" t="0" r="0" b="0"/>
            <wp:docPr id="18"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descr=""/>
                    <pic:cNvPicPr>
                      <a:picLocks noChangeAspect="1" noChangeArrowheads="1"/>
                    </pic:cNvPicPr>
                  </pic:nvPicPr>
                  <pic:blipFill>
                    <a:blip r:embed="rId20"/>
                    <a:srcRect l="0" t="8731" r="16072" b="7140"/>
                    <a:stretch>
                      <a:fillRect/>
                    </a:stretch>
                  </pic:blipFill>
                  <pic:spPr bwMode="auto">
                    <a:xfrm>
                      <a:off x="0" y="0"/>
                      <a:ext cx="2686050" cy="2692400"/>
                    </a:xfrm>
                    <a:prstGeom prst="rect">
                      <a:avLst/>
                    </a:prstGeom>
                  </pic:spPr>
                </pic:pic>
              </a:graphicData>
            </a:graphic>
          </wp:inline>
        </w:drawing>
      </w:r>
      <w:r>
        <w:rPr/>
        <w:drawing>
          <wp:inline distT="0" distB="0" distL="0" distR="0">
            <wp:extent cx="3200400" cy="2692400"/>
            <wp:effectExtent l="0" t="0" r="0" b="0"/>
            <wp:docPr id="19"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4" descr=""/>
                    <pic:cNvPicPr>
                      <a:picLocks noChangeAspect="1" noChangeArrowheads="1"/>
                    </pic:cNvPicPr>
                  </pic:nvPicPr>
                  <pic:blipFill>
                    <a:blip r:embed="rId21"/>
                    <a:srcRect l="0" t="8731" r="0" b="7140"/>
                    <a:stretch>
                      <a:fillRect/>
                    </a:stretch>
                  </pic:blipFill>
                  <pic:spPr bwMode="auto">
                    <a:xfrm>
                      <a:off x="0" y="0"/>
                      <a:ext cx="3200400" cy="2692400"/>
                    </a:xfrm>
                    <a:prstGeom prst="rect">
                      <a:avLst/>
                    </a:prstGeom>
                  </pic:spPr>
                </pic:pic>
              </a:graphicData>
            </a:graphic>
          </wp:inline>
        </w:drawing>
      </w:r>
      <w:r>
        <w:rPr/>
        <w:drawing>
          <wp:inline distT="0" distB="0" distL="0" distR="0">
            <wp:extent cx="2692400" cy="2692400"/>
            <wp:effectExtent l="0" t="0" r="0" b="0"/>
            <wp:docPr id="2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5" descr=""/>
                    <pic:cNvPicPr>
                      <a:picLocks noChangeAspect="1" noChangeArrowheads="1"/>
                    </pic:cNvPicPr>
                  </pic:nvPicPr>
                  <pic:blipFill>
                    <a:blip r:embed="rId22"/>
                    <a:srcRect l="0" t="8731" r="15875" b="7140"/>
                    <a:stretch>
                      <a:fillRect/>
                    </a:stretch>
                  </pic:blipFill>
                  <pic:spPr bwMode="auto">
                    <a:xfrm>
                      <a:off x="0" y="0"/>
                      <a:ext cx="2692400" cy="2692400"/>
                    </a:xfrm>
                    <a:prstGeom prst="rect">
                      <a:avLst/>
                    </a:prstGeom>
                  </pic:spPr>
                </pic:pic>
              </a:graphicData>
            </a:graphic>
          </wp:inline>
        </w:drawing>
      </w:r>
      <w:r>
        <w:rPr/>
        <w:drawing>
          <wp:inline distT="0" distB="0" distL="0" distR="0">
            <wp:extent cx="3200400" cy="2692400"/>
            <wp:effectExtent l="0" t="0" r="0" b="0"/>
            <wp:docPr id="2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4" descr=""/>
                    <pic:cNvPicPr>
                      <a:picLocks noChangeAspect="1" noChangeArrowheads="1"/>
                    </pic:cNvPicPr>
                  </pic:nvPicPr>
                  <pic:blipFill>
                    <a:blip r:embed="rId23"/>
                    <a:srcRect l="0" t="8731" r="0" b="7140"/>
                    <a:stretch>
                      <a:fillRect/>
                    </a:stretch>
                  </pic:blipFill>
                  <pic:spPr bwMode="auto">
                    <a:xfrm>
                      <a:off x="0" y="0"/>
                      <a:ext cx="3200400" cy="2692400"/>
                    </a:xfrm>
                    <a:prstGeom prst="rect">
                      <a:avLst/>
                    </a:prstGeom>
                  </pic:spPr>
                </pic:pic>
              </a:graphicData>
            </a:graphic>
          </wp:inline>
        </w:drawing>
      </w:r>
      <w:r>
        <w:rPr/>
        <w:drawing>
          <wp:inline distT="0" distB="0" distL="0" distR="0">
            <wp:extent cx="2692400" cy="2700655"/>
            <wp:effectExtent l="0" t="0" r="0" b="0"/>
            <wp:docPr id="2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
                    <pic:cNvPicPr>
                      <a:picLocks noChangeAspect="1" noChangeArrowheads="1"/>
                    </pic:cNvPicPr>
                  </pic:nvPicPr>
                  <pic:blipFill>
                    <a:blip r:embed="rId24"/>
                    <a:srcRect l="0" t="8731" r="15867" b="6878"/>
                    <a:stretch>
                      <a:fillRect/>
                    </a:stretch>
                  </pic:blipFill>
                  <pic:spPr bwMode="auto">
                    <a:xfrm>
                      <a:off x="0" y="0"/>
                      <a:ext cx="2692400" cy="2700655"/>
                    </a:xfrm>
                    <a:prstGeom prst="rect">
                      <a:avLst/>
                    </a:prstGeom>
                  </pic:spPr>
                </pic:pic>
              </a:graphicData>
            </a:graphic>
          </wp:inline>
        </w:drawing>
      </w:r>
      <w:r>
        <w:rPr/>
        <w:drawing>
          <wp:inline distT="0" distB="0" distL="0" distR="635">
            <wp:extent cx="3199765" cy="2692400"/>
            <wp:effectExtent l="0" t="0" r="0" b="0"/>
            <wp:docPr id="2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
                    <pic:cNvPicPr>
                      <a:picLocks noChangeAspect="1" noChangeArrowheads="1"/>
                    </pic:cNvPicPr>
                  </pic:nvPicPr>
                  <pic:blipFill>
                    <a:blip r:embed="rId25"/>
                    <a:srcRect l="0" t="8996" r="0" b="6866"/>
                    <a:stretch>
                      <a:fillRect/>
                    </a:stretch>
                  </pic:blipFill>
                  <pic:spPr bwMode="auto">
                    <a:xfrm>
                      <a:off x="0" y="0"/>
                      <a:ext cx="3199765" cy="2692400"/>
                    </a:xfrm>
                    <a:prstGeom prst="rect">
                      <a:avLst/>
                    </a:prstGeom>
                  </pic:spPr>
                </pic:pic>
              </a:graphicData>
            </a:graphic>
          </wp:inline>
        </w:drawing>
      </w:r>
    </w:p>
    <w:p>
      <w:pPr>
        <w:pStyle w:val="Normal"/>
        <w:widowControl w:val="false"/>
        <w:rPr/>
      </w:pPr>
      <w:r>
        <w:rPr>
          <w:b/>
        </w:rPr>
        <w:t>Fig. S4.</w:t>
      </w:r>
      <w:r>
        <w:rPr/>
        <w:t xml:space="preserve"> Values of </w:t>
      </w:r>
      <w:r>
        <w:rPr>
          <w:rFonts w:eastAsia="Symbol" w:cs="Symbol" w:ascii="Symbol" w:hAnsi="Symbol"/>
          <w:i/>
        </w:rPr>
        <w:t></w:t>
      </w:r>
      <w:r>
        <w:rPr>
          <w:rFonts w:cs="Times New Roman"/>
          <w:i/>
          <w:vertAlign w:val="subscript"/>
        </w:rPr>
        <w:t xml:space="preserve">rescale </w:t>
      </w:r>
      <w:r>
        <w:rPr/>
        <w:t>across North America and Europe representing short- (a, c, d, e) and long-term (b, f) time periods. (a) 1996 mean = 1.00</w:t>
      </w:r>
      <w:r>
        <w:rPr>
          <w:rFonts w:cs="Times New Roman"/>
        </w:rPr>
        <w:t>‰</w:t>
      </w:r>
      <w:r>
        <w:rPr/>
        <w:t>, (b) 1960-2000 mean = 0.91</w:t>
      </w:r>
      <w:r>
        <w:rPr>
          <w:rFonts w:cs="Times New Roman"/>
        </w:rPr>
        <w:t>‰</w:t>
      </w:r>
      <w:r>
        <w:rPr/>
        <w:t>, (c) 2004 mean = 1.44</w:t>
      </w:r>
      <w:r>
        <w:rPr>
          <w:rFonts w:cs="Times New Roman"/>
        </w:rPr>
        <w:t>‰</w:t>
      </w:r>
      <w:r>
        <w:rPr/>
        <w:t>, (d) 2005 mean = 1.44</w:t>
      </w:r>
      <w:r>
        <w:rPr>
          <w:rFonts w:cs="Times New Roman"/>
        </w:rPr>
        <w:t>‰</w:t>
      </w:r>
      <w:r>
        <w:rPr/>
        <w:t>, (e) 2006 mean = 1.45</w:t>
      </w:r>
      <w:r>
        <w:rPr>
          <w:rFonts w:cs="Times New Roman"/>
        </w:rPr>
        <w:t>‰</w:t>
      </w:r>
      <w:r>
        <w:rPr/>
        <w:t>, (f) 1960-2006 mean = 1.31</w:t>
      </w:r>
      <w:r>
        <w:rPr>
          <w:rFonts w:cs="Times New Roman"/>
        </w:rPr>
        <w:t>‰</w:t>
      </w:r>
      <w:r>
        <w:rPr/>
        <w:t>.</w:t>
      </w:r>
      <w:r>
        <w:br w:type="page"/>
      </w:r>
    </w:p>
    <w:p>
      <w:pPr>
        <w:pStyle w:val="Normal"/>
        <w:widowControl w:val="false"/>
        <w:spacing w:lineRule="auto" w:line="480"/>
        <w:rPr/>
      </w:pPr>
      <w:r>
        <w:rPr/>
        <w:drawing>
          <wp:inline distT="0" distB="10795" distL="0" distR="10160">
            <wp:extent cx="2682240" cy="2681605"/>
            <wp:effectExtent l="0" t="0" r="0" b="0"/>
            <wp:docPr id="24"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8" descr=""/>
                    <pic:cNvPicPr>
                      <a:picLocks noChangeAspect="1" noChangeArrowheads="1"/>
                    </pic:cNvPicPr>
                  </pic:nvPicPr>
                  <pic:blipFill>
                    <a:blip r:embed="rId26"/>
                    <a:srcRect l="0" t="8708" r="16174" b="7480"/>
                    <a:stretch>
                      <a:fillRect/>
                    </a:stretch>
                  </pic:blipFill>
                  <pic:spPr bwMode="auto">
                    <a:xfrm>
                      <a:off x="0" y="0"/>
                      <a:ext cx="2682240" cy="2681605"/>
                    </a:xfrm>
                    <a:prstGeom prst="rect">
                      <a:avLst/>
                    </a:prstGeom>
                  </pic:spPr>
                </pic:pic>
              </a:graphicData>
            </a:graphic>
          </wp:inline>
        </w:drawing>
      </w:r>
      <w:r>
        <w:rPr/>
        <w:drawing>
          <wp:inline distT="0" distB="0" distL="0" distR="635">
            <wp:extent cx="3200400" cy="2699385"/>
            <wp:effectExtent l="0" t="0" r="0" b="0"/>
            <wp:docPr id="25"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 descr=""/>
                    <pic:cNvPicPr>
                      <a:picLocks noChangeAspect="1" noChangeArrowheads="1"/>
                    </pic:cNvPicPr>
                  </pic:nvPicPr>
                  <pic:blipFill>
                    <a:blip r:embed="rId27"/>
                    <a:srcRect l="0" t="8708" r="0" b="6938"/>
                    <a:stretch>
                      <a:fillRect/>
                    </a:stretch>
                  </pic:blipFill>
                  <pic:spPr bwMode="auto">
                    <a:xfrm>
                      <a:off x="0" y="0"/>
                      <a:ext cx="3200400" cy="2699385"/>
                    </a:xfrm>
                    <a:prstGeom prst="rect">
                      <a:avLst/>
                    </a:prstGeom>
                  </pic:spPr>
                </pic:pic>
              </a:graphicData>
            </a:graphic>
          </wp:inline>
        </w:drawing>
      </w:r>
      <w:r>
        <w:rPr/>
        <w:drawing>
          <wp:inline distT="0" distB="1905" distL="0" distR="0">
            <wp:extent cx="2673350" cy="2690495"/>
            <wp:effectExtent l="0" t="0" r="0" b="0"/>
            <wp:docPr id="26"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
                    <pic:cNvPicPr>
                      <a:picLocks noChangeAspect="1" noChangeArrowheads="1"/>
                    </pic:cNvPicPr>
                  </pic:nvPicPr>
                  <pic:blipFill>
                    <a:blip r:embed="rId28"/>
                    <a:srcRect l="0" t="8241" r="15654" b="6878"/>
                    <a:stretch>
                      <a:fillRect/>
                    </a:stretch>
                  </pic:blipFill>
                  <pic:spPr bwMode="auto">
                    <a:xfrm>
                      <a:off x="0" y="0"/>
                      <a:ext cx="2673350" cy="2690495"/>
                    </a:xfrm>
                    <a:prstGeom prst="rect">
                      <a:avLst/>
                    </a:prstGeom>
                  </pic:spPr>
                </pic:pic>
              </a:graphicData>
            </a:graphic>
          </wp:inline>
        </w:drawing>
      </w:r>
      <w:r>
        <w:rPr/>
        <w:drawing>
          <wp:inline distT="0" distB="1905" distL="0" distR="1270">
            <wp:extent cx="3199130" cy="2691130"/>
            <wp:effectExtent l="0" t="0" r="0" b="0"/>
            <wp:docPr id="27"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
                    <pic:cNvPicPr>
                      <a:picLocks noChangeAspect="1" noChangeArrowheads="1"/>
                    </pic:cNvPicPr>
                  </pic:nvPicPr>
                  <pic:blipFill>
                    <a:blip r:embed="rId29"/>
                    <a:srcRect l="0" t="8984" r="0" b="6916"/>
                    <a:stretch>
                      <a:fillRect/>
                    </a:stretch>
                  </pic:blipFill>
                  <pic:spPr bwMode="auto">
                    <a:xfrm>
                      <a:off x="0" y="0"/>
                      <a:ext cx="3199130" cy="2691130"/>
                    </a:xfrm>
                    <a:prstGeom prst="rect">
                      <a:avLst/>
                    </a:prstGeom>
                  </pic:spPr>
                </pic:pic>
              </a:graphicData>
            </a:graphic>
          </wp:inline>
        </w:drawing>
      </w:r>
      <w:r>
        <w:rPr/>
        <w:drawing>
          <wp:inline distT="0" distB="1905" distL="0" distR="1905">
            <wp:extent cx="2691130" cy="2690495"/>
            <wp:effectExtent l="0" t="0" r="0" b="0"/>
            <wp:docPr id="2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
                    <pic:cNvPicPr>
                      <a:picLocks noChangeAspect="1" noChangeArrowheads="1"/>
                    </pic:cNvPicPr>
                  </pic:nvPicPr>
                  <pic:blipFill>
                    <a:blip r:embed="rId30"/>
                    <a:srcRect l="0" t="8989" r="15777" b="6802"/>
                    <a:stretch>
                      <a:fillRect/>
                    </a:stretch>
                  </pic:blipFill>
                  <pic:spPr bwMode="auto">
                    <a:xfrm>
                      <a:off x="0" y="0"/>
                      <a:ext cx="2691130" cy="2690495"/>
                    </a:xfrm>
                    <a:prstGeom prst="rect">
                      <a:avLst/>
                    </a:prstGeom>
                  </pic:spPr>
                </pic:pic>
              </a:graphicData>
            </a:graphic>
          </wp:inline>
        </w:drawing>
      </w:r>
      <w:r>
        <w:rPr/>
        <w:drawing>
          <wp:inline distT="0" distB="1905" distL="0" distR="635">
            <wp:extent cx="3199765" cy="2691130"/>
            <wp:effectExtent l="0" t="0" r="0" b="0"/>
            <wp:docPr id="2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
                    <pic:cNvPicPr>
                      <a:picLocks noChangeAspect="1" noChangeArrowheads="1"/>
                    </pic:cNvPicPr>
                  </pic:nvPicPr>
                  <pic:blipFill>
                    <a:blip r:embed="rId31"/>
                    <a:srcRect l="0" t="8981" r="0" b="6932"/>
                    <a:stretch>
                      <a:fillRect/>
                    </a:stretch>
                  </pic:blipFill>
                  <pic:spPr bwMode="auto">
                    <a:xfrm>
                      <a:off x="0" y="0"/>
                      <a:ext cx="3199765" cy="2691130"/>
                    </a:xfrm>
                    <a:prstGeom prst="rect">
                      <a:avLst/>
                    </a:prstGeom>
                  </pic:spPr>
                </pic:pic>
              </a:graphicData>
            </a:graphic>
          </wp:inline>
        </w:drawing>
      </w:r>
    </w:p>
    <w:p>
      <w:pPr>
        <w:pStyle w:val="Normal"/>
        <w:widowControl w:val="false"/>
        <w:rPr/>
      </w:pPr>
      <w:r>
        <w:rPr>
          <w:b/>
        </w:rPr>
        <w:t>Fig. S5.</w:t>
      </w:r>
      <w:r>
        <w:rPr/>
        <w:t xml:space="preserve"> Values of </w:t>
      </w:r>
      <w:r>
        <w:rPr>
          <w:rFonts w:eastAsia="Symbol" w:cs="Symbol" w:ascii="Symbol" w:hAnsi="Symbol"/>
          <w:i/>
        </w:rPr>
        <w:t></w:t>
      </w:r>
      <w:r>
        <w:rPr>
          <w:rFonts w:cs="Times New Roman"/>
          <w:i/>
          <w:vertAlign w:val="subscript"/>
        </w:rPr>
        <w:t>precip</w:t>
      </w:r>
      <w:r>
        <w:rPr>
          <w:rFonts w:cs="Times New Roman"/>
          <w:i/>
        </w:rPr>
        <w:t xml:space="preserve"> </w:t>
      </w:r>
      <w:r>
        <w:rPr/>
        <w:t>across North America and Europe representing short- (a, c, d, e) and long-term (b, f) time periods. (a) 1996 mean = 7.32</w:t>
      </w:r>
      <w:r>
        <w:rPr>
          <w:rFonts w:cs="Times New Roman"/>
        </w:rPr>
        <w:t>‰</w:t>
      </w:r>
      <w:r>
        <w:rPr/>
        <w:t>, (b) 1960-2000 mean = 6.65</w:t>
      </w:r>
      <w:r>
        <w:rPr>
          <w:rFonts w:cs="Times New Roman"/>
        </w:rPr>
        <w:t>‰</w:t>
      </w:r>
      <w:r>
        <w:rPr/>
        <w:t>, (c) 2004 mean = 6.77</w:t>
      </w:r>
      <w:r>
        <w:rPr>
          <w:rFonts w:cs="Times New Roman"/>
        </w:rPr>
        <w:t>‰</w:t>
      </w:r>
      <w:r>
        <w:rPr/>
        <w:t>, (d) 2005 mean = 6.78</w:t>
      </w:r>
      <w:r>
        <w:rPr>
          <w:rFonts w:cs="Times New Roman"/>
        </w:rPr>
        <w:t>‰</w:t>
      </w:r>
      <w:r>
        <w:rPr/>
        <w:t>, (e) 2006 mean = 7.26</w:t>
      </w:r>
      <w:r>
        <w:rPr>
          <w:rFonts w:cs="Times New Roman"/>
        </w:rPr>
        <w:t>‰</w:t>
      </w:r>
      <w:r>
        <w:rPr/>
        <w:t>, (e) 1960-2006 mean = 8.01</w:t>
      </w:r>
      <w:r>
        <w:rPr>
          <w:rFonts w:cs="Times New Roman"/>
        </w:rPr>
        <w:t>‰</w:t>
      </w:r>
      <w:r>
        <w:rPr/>
        <w:t>.  The scales are the same for (a, b) and for (c-e).  Note the wide range in uncertainty in the short-term isoscapes compared to the long-term isoscapes.</w:t>
      </w:r>
    </w:p>
    <w:p>
      <w:pPr>
        <w:pStyle w:val="Normal"/>
        <w:rPr>
          <w:b/>
          <w:b/>
        </w:rPr>
      </w:pPr>
      <w:r>
        <w:rPr>
          <w:b/>
        </w:rPr>
      </w:r>
      <w:r>
        <w:br w:type="page"/>
      </w:r>
    </w:p>
    <w:p>
      <w:pPr>
        <w:pStyle w:val="Normal"/>
        <w:widowControl w:val="false"/>
        <w:spacing w:lineRule="auto" w:line="480"/>
        <w:rPr>
          <w:b/>
          <w:b/>
        </w:rPr>
      </w:pPr>
      <w:r>
        <w:rPr>
          <w:b/>
        </w:rPr>
        <w:t>Literature cited</w:t>
      </w:r>
    </w:p>
    <w:p>
      <w:pPr>
        <w:pStyle w:val="Bibliography"/>
        <w:rPr>
          <w:rFonts w:cs="Times New Roman"/>
        </w:rPr>
      </w:pPr>
      <w:r>
        <w:rPr>
          <w:rFonts w:cs="Times New Roman"/>
        </w:rPr>
        <w:t xml:space="preserve">Bowen, G.J. (2010). Statistical and geostatistical mapping of precipitation water isotope ratios. </w:t>
      </w:r>
      <w:r>
        <w:rPr>
          <w:rFonts w:cs="Times New Roman"/>
          <w:i/>
          <w:iCs/>
        </w:rPr>
        <w:t>Isoscapes: understanding movement, pattern, and process on earth through isotope mapping</w:t>
      </w:r>
      <w:r>
        <w:rPr>
          <w:rFonts w:cs="Times New Roman"/>
        </w:rPr>
        <w:t xml:space="preserve"> (eds J.B. West, G.J. Bowen &amp; T.E. Dawson), pp. 139–160. Springer, Netherlands. </w:t>
      </w:r>
    </w:p>
    <w:p>
      <w:pPr>
        <w:pStyle w:val="Bibliography"/>
        <w:rPr>
          <w:rFonts w:cs="Times New Roman"/>
        </w:rPr>
      </w:pPr>
      <w:r>
        <w:rPr>
          <w:rFonts w:cs="Times New Roman"/>
        </w:rPr>
        <w:t xml:space="preserve">Bowen, G.J., Liu, Z., Vander Zanden, H.B., Zhao, L. &amp; Takahashi, G. (2014). Geographic assignment with stable isotopes in IsoMAP. </w:t>
      </w:r>
      <w:r>
        <w:rPr>
          <w:rFonts w:cs="Times New Roman"/>
          <w:i/>
          <w:iCs/>
        </w:rPr>
        <w:t>Methods in Ecology and Evolution</w:t>
      </w:r>
      <w:r>
        <w:rPr>
          <w:rFonts w:cs="Times New Roman"/>
        </w:rPr>
        <w:t xml:space="preserve">, </w:t>
      </w:r>
      <w:r>
        <w:rPr>
          <w:rFonts w:cs="Times New Roman"/>
          <w:b/>
        </w:rPr>
        <w:t>5</w:t>
      </w:r>
      <w:r>
        <w:rPr>
          <w:rFonts w:cs="Times New Roman"/>
        </w:rPr>
        <w:t xml:space="preserve">, 201-206. </w:t>
      </w:r>
    </w:p>
    <w:p>
      <w:pPr>
        <w:pStyle w:val="Bibliography"/>
        <w:rPr>
          <w:rFonts w:cs="Times New Roman"/>
        </w:rPr>
      </w:pPr>
      <w:r>
        <w:rPr>
          <w:rFonts w:cs="Times New Roman"/>
        </w:rPr>
        <w:t xml:space="preserve">Bowen, G.J., West, J.B., Zhao, L., Takahashi, G., Miller, C. &amp; Zhang, T. (2012). Cyberinfrastructure for isotope analysis and modeling. </w:t>
      </w:r>
      <w:r>
        <w:rPr>
          <w:rFonts w:cs="Times New Roman"/>
          <w:i/>
          <w:iCs/>
        </w:rPr>
        <w:t>Eos, Transactions American Geophysical Union</w:t>
      </w:r>
      <w:r>
        <w:rPr>
          <w:rFonts w:cs="Times New Roman"/>
        </w:rPr>
        <w:t xml:space="preserve">, </w:t>
      </w:r>
      <w:r>
        <w:rPr>
          <w:rFonts w:cs="Times New Roman"/>
          <w:b/>
          <w:bCs/>
        </w:rPr>
        <w:t>93</w:t>
      </w:r>
      <w:r>
        <w:rPr>
          <w:rFonts w:cs="Times New Roman"/>
        </w:rPr>
        <w:t xml:space="preserve">, 185–187. </w:t>
      </w:r>
    </w:p>
    <w:p>
      <w:pPr>
        <w:pStyle w:val="Bibliography"/>
        <w:rPr>
          <w:rFonts w:cs="Times New Roman"/>
        </w:rPr>
      </w:pPr>
      <w:r>
        <w:rPr>
          <w:rFonts w:cs="Times New Roman"/>
        </w:rPr>
        <w:t>Bowen, G.J. &amp; Wilkinson, B. (2002). Spatial distribution of δ</w:t>
      </w:r>
      <w:r>
        <w:rPr>
          <w:rFonts w:cs="Times New Roman"/>
          <w:vertAlign w:val="superscript"/>
        </w:rPr>
        <w:t>18</w:t>
      </w:r>
      <w:r>
        <w:rPr>
          <w:rFonts w:cs="Times New Roman"/>
        </w:rPr>
        <w:t xml:space="preserve">O in meteoric precipitation. </w:t>
      </w:r>
      <w:r>
        <w:rPr>
          <w:rFonts w:cs="Times New Roman"/>
          <w:i/>
          <w:iCs/>
        </w:rPr>
        <w:t>Geology</w:t>
      </w:r>
      <w:r>
        <w:rPr>
          <w:rFonts w:cs="Times New Roman"/>
        </w:rPr>
        <w:t xml:space="preserve">, </w:t>
      </w:r>
      <w:r>
        <w:rPr>
          <w:rFonts w:cs="Times New Roman"/>
          <w:b/>
          <w:bCs/>
        </w:rPr>
        <w:t>30</w:t>
      </w:r>
      <w:r>
        <w:rPr>
          <w:rFonts w:cs="Times New Roman"/>
        </w:rPr>
        <w:t xml:space="preserve">, 315–318. </w:t>
      </w:r>
    </w:p>
    <w:p>
      <w:pPr>
        <w:pStyle w:val="Bibliography"/>
        <w:rPr>
          <w:rFonts w:cs="Times New Roman"/>
        </w:rPr>
      </w:pPr>
      <w:r>
        <w:rPr>
          <w:rFonts w:cs="Times New Roman"/>
        </w:rPr>
        <w:t xml:space="preserve">Dansgaard, W. (1964). Stable isotopes in precipitation. </w:t>
      </w:r>
      <w:r>
        <w:rPr>
          <w:rFonts w:cs="Times New Roman"/>
          <w:i/>
          <w:iCs/>
        </w:rPr>
        <w:t>Tellus</w:t>
      </w:r>
      <w:r>
        <w:rPr>
          <w:rFonts w:cs="Times New Roman"/>
        </w:rPr>
        <w:t xml:space="preserve">, </w:t>
      </w:r>
      <w:r>
        <w:rPr>
          <w:rFonts w:cs="Times New Roman"/>
          <w:b/>
          <w:bCs/>
        </w:rPr>
        <w:t>16</w:t>
      </w:r>
      <w:r>
        <w:rPr>
          <w:rFonts w:cs="Times New Roman"/>
        </w:rPr>
        <w:t xml:space="preserve">, 436–468. </w:t>
      </w:r>
    </w:p>
    <w:p>
      <w:pPr>
        <w:pStyle w:val="Bibliography"/>
        <w:rPr>
          <w:rFonts w:cs="Times New Roman"/>
        </w:rPr>
      </w:pPr>
      <w:r>
        <w:rPr>
          <w:rFonts w:cs="Times New Roman"/>
        </w:rPr>
        <w:t xml:space="preserve">Godsoe, W. (2014). Inferring the similarity of species distributions using Species’ Distribution Models. </w:t>
      </w:r>
      <w:r>
        <w:rPr>
          <w:rFonts w:cs="Times New Roman"/>
          <w:i/>
          <w:iCs/>
        </w:rPr>
        <w:t>Ecography</w:t>
      </w:r>
      <w:r>
        <w:rPr>
          <w:rFonts w:cs="Times New Roman"/>
        </w:rPr>
        <w:t xml:space="preserve">, </w:t>
      </w:r>
      <w:r>
        <w:rPr>
          <w:rFonts w:cs="Times New Roman"/>
          <w:b/>
          <w:bCs/>
        </w:rPr>
        <w:t>37</w:t>
      </w:r>
      <w:r>
        <w:rPr>
          <w:rFonts w:cs="Times New Roman"/>
        </w:rPr>
        <w:t xml:space="preserve">, 130–136. </w:t>
      </w:r>
    </w:p>
    <w:p>
      <w:pPr>
        <w:pStyle w:val="Bibliography"/>
        <w:rPr>
          <w:rFonts w:cs="Times New Roman"/>
        </w:rPr>
      </w:pPr>
      <w:r>
        <w:rPr>
          <w:rFonts w:cs="Times New Roman"/>
        </w:rPr>
        <w:t>Hobson, K.A., Wassenaar, L.I. &amp; Taylor, O.R. (1999). Stable isotopes (δD and δ</w:t>
      </w:r>
      <w:r>
        <w:rPr>
          <w:rFonts w:cs="Times New Roman"/>
          <w:vertAlign w:val="superscript"/>
        </w:rPr>
        <w:t>13</w:t>
      </w:r>
      <w:r>
        <w:rPr>
          <w:rFonts w:cs="Times New Roman"/>
        </w:rPr>
        <w:t xml:space="preserve">C) are geographic indicators of natal origins of monarch butterflies in eastern North America. </w:t>
      </w:r>
      <w:r>
        <w:rPr>
          <w:rFonts w:cs="Times New Roman"/>
          <w:i/>
          <w:iCs/>
        </w:rPr>
        <w:t>Oecologia</w:t>
      </w:r>
      <w:r>
        <w:rPr>
          <w:rFonts w:cs="Times New Roman"/>
        </w:rPr>
        <w:t xml:space="preserve">, </w:t>
      </w:r>
      <w:r>
        <w:rPr>
          <w:rFonts w:cs="Times New Roman"/>
          <w:b/>
          <w:bCs/>
        </w:rPr>
        <w:t>120</w:t>
      </w:r>
      <w:r>
        <w:rPr>
          <w:rFonts w:cs="Times New Roman"/>
        </w:rPr>
        <w:t xml:space="preserve">, 397–404. </w:t>
      </w:r>
    </w:p>
    <w:p>
      <w:pPr>
        <w:pStyle w:val="Bibliography"/>
        <w:rPr>
          <w:rFonts w:cs="Times New Roman"/>
        </w:rPr>
      </w:pPr>
      <w:r>
        <w:rPr>
          <w:rFonts w:cs="Times New Roman"/>
        </w:rPr>
        <w:t xml:space="preserve">IAEA/WMO. (2011). Global Network of Isotopes in Precipitation. </w:t>
      </w:r>
      <w:r>
        <w:rPr>
          <w:rFonts w:cs="Times New Roman"/>
          <w:i/>
          <w:iCs/>
        </w:rPr>
        <w:t>The GNIP Database</w:t>
      </w:r>
      <w:r>
        <w:rPr>
          <w:rFonts w:cs="Times New Roman"/>
        </w:rPr>
        <w:t>. Retrieved from www.iaea.org/water</w:t>
      </w:r>
    </w:p>
    <w:p>
      <w:pPr>
        <w:pStyle w:val="Bibliography"/>
        <w:rPr>
          <w:rFonts w:cs="Times New Roman"/>
        </w:rPr>
      </w:pPr>
      <w:r>
        <w:rPr>
          <w:rFonts w:cs="Times New Roman"/>
        </w:rPr>
        <w:t xml:space="preserve">Mitchell, T.D. &amp; Jones, P.D. (2005). An improved method of constructing a database of monthly climate observations and associated high-resolution grids. </w:t>
      </w:r>
      <w:r>
        <w:rPr>
          <w:rFonts w:cs="Times New Roman"/>
          <w:i/>
          <w:iCs/>
        </w:rPr>
        <w:t>International Journal of Climatology</w:t>
      </w:r>
      <w:r>
        <w:rPr>
          <w:rFonts w:cs="Times New Roman"/>
        </w:rPr>
        <w:t xml:space="preserve">, </w:t>
      </w:r>
      <w:r>
        <w:rPr>
          <w:rFonts w:cs="Times New Roman"/>
          <w:b/>
          <w:bCs/>
        </w:rPr>
        <w:t>25</w:t>
      </w:r>
      <w:r>
        <w:rPr>
          <w:rFonts w:cs="Times New Roman"/>
        </w:rPr>
        <w:t xml:space="preserve">, 693–712. </w:t>
      </w:r>
    </w:p>
    <w:p>
      <w:pPr>
        <w:pStyle w:val="Bibliography"/>
        <w:rPr>
          <w:rFonts w:cs="Times New Roman"/>
        </w:rPr>
      </w:pPr>
      <w:r>
        <w:rPr>
          <w:rFonts w:cs="Times New Roman"/>
        </w:rPr>
        <w:t>PRISM Climate Group. (2010).</w:t>
      </w:r>
      <w:r>
        <w:rPr>
          <w:rFonts w:cs="Times New Roman"/>
          <w:i/>
          <w:iCs/>
        </w:rPr>
        <w:t>Gridded climate data for the contiguous USA</w:t>
      </w:r>
      <w:r>
        <w:rPr>
          <w:rFonts w:cs="Times New Roman"/>
        </w:rPr>
        <w:t>. Retrieved from htpp://prisim.oregonstate.edu</w:t>
      </w:r>
    </w:p>
    <w:p>
      <w:pPr>
        <w:pStyle w:val="Bibliography"/>
        <w:rPr>
          <w:rFonts w:cs="Times New Roman"/>
        </w:rPr>
      </w:pPr>
      <w:r>
        <w:rPr>
          <w:rFonts w:cs="Times New Roman"/>
        </w:rPr>
        <w:t>Procházka, P., Van Wilgenburg, S.L., Neto, J.M., Yosef, R. &amp; Hobson, K.A. (2013). Using stable hydrogen isotopes (δ</w:t>
      </w:r>
      <w:r>
        <w:rPr>
          <w:rFonts w:cs="Times New Roman"/>
          <w:vertAlign w:val="superscript"/>
        </w:rPr>
        <w:t>2</w:t>
      </w:r>
      <w:r>
        <w:rPr>
          <w:rFonts w:cs="Times New Roman"/>
        </w:rPr>
        <w:t xml:space="preserve">H) and ring recoveries to trace natal origins in a Eurasian passerine with a migratory divide. </w:t>
      </w:r>
      <w:r>
        <w:rPr>
          <w:rFonts w:cs="Times New Roman"/>
          <w:i/>
          <w:iCs/>
        </w:rPr>
        <w:t>Journal of Avian Biology</w:t>
      </w:r>
      <w:r>
        <w:rPr>
          <w:rFonts w:cs="Times New Roman"/>
        </w:rPr>
        <w:t xml:space="preserve">, </w:t>
      </w:r>
      <w:r>
        <w:rPr>
          <w:rFonts w:cs="Times New Roman"/>
          <w:b/>
          <w:bCs/>
        </w:rPr>
        <w:t>44</w:t>
      </w:r>
      <w:r>
        <w:rPr>
          <w:rFonts w:cs="Times New Roman"/>
        </w:rPr>
        <w:t xml:space="preserve">, 541–550. </w:t>
      </w:r>
    </w:p>
    <w:p>
      <w:pPr>
        <w:pStyle w:val="Bibliography"/>
        <w:rPr>
          <w:rFonts w:cs="Times New Roman"/>
        </w:rPr>
      </w:pPr>
      <w:r>
        <w:rPr>
          <w:rFonts w:cs="Times New Roman"/>
        </w:rPr>
        <w:t xml:space="preserve">Rozanski, K., Araguás-Araguás, L. &amp; Gonfiantini, R. (1993). Isotopic patterns in modern global precipitation. </w:t>
      </w:r>
      <w:r>
        <w:rPr>
          <w:rFonts w:cs="Times New Roman"/>
          <w:i/>
          <w:iCs/>
        </w:rPr>
        <w:t>Geophysical Monograph Series</w:t>
      </w:r>
      <w:r>
        <w:rPr>
          <w:rFonts w:cs="Times New Roman"/>
        </w:rPr>
        <w:t xml:space="preserve"> (eds P.K. Swart, K.C. Lohmann, J. McKenzie &amp; S. Savin), pp. 1–36. American Geophysical Union, Washington, D. C. </w:t>
      </w:r>
    </w:p>
    <w:p>
      <w:pPr>
        <w:pStyle w:val="Bibliography"/>
        <w:rPr>
          <w:rFonts w:cs="Times New Roman"/>
        </w:rPr>
      </w:pPr>
      <w:r>
        <w:rPr>
          <w:rFonts w:cs="Times New Roman"/>
        </w:rPr>
        <w:t xml:space="preserve">U.S. National Geophysical Data Center. (1998). U.S. National Geophysical Data Center. </w:t>
      </w:r>
    </w:p>
    <w:p>
      <w:pPr>
        <w:pStyle w:val="Bibliography"/>
        <w:rPr>
          <w:rFonts w:cs="Times New Roman"/>
        </w:rPr>
      </w:pPr>
      <w:r>
        <w:rPr>
          <w:rFonts w:cs="Times New Roman"/>
        </w:rPr>
        <w:t xml:space="preserve">Wunder, M.B. (2010). Using isoscapes to model probability surfaces for determining geographic origins. </w:t>
      </w:r>
      <w:r>
        <w:rPr>
          <w:rFonts w:cs="Times New Roman"/>
          <w:i/>
          <w:iCs/>
        </w:rPr>
        <w:t>Isoscapes: Understanding Movement, Pattern, and Process on Earth Through Isotope Mapping</w:t>
      </w:r>
      <w:r>
        <w:rPr>
          <w:rFonts w:cs="Times New Roman"/>
        </w:rPr>
        <w:t xml:space="preserve"> (eds J.B. West, G.J. Bowen, T.E. Dawson &amp; K.P. Tu), pp. 251–270. Springer Netherlands. </w:t>
      </w:r>
    </w:p>
    <w:p>
      <w:pPr>
        <w:pStyle w:val="Bibliography"/>
        <w:rPr>
          <w:rFonts w:cs="Times New Roman"/>
        </w:rPr>
      </w:pPr>
      <w:r>
        <w:rPr>
          <w:rFonts w:cs="Times New Roman"/>
        </w:rPr>
        <w:t xml:space="preserve">Wunder, M.B., Jehl, J.R. &amp; Stricker, C.A. (2012). The early bird gets the shrimp: confronting assumptions of isotopic equilibrium and homogeneity in a wild bird population. </w:t>
      </w:r>
      <w:r>
        <w:rPr>
          <w:rFonts w:cs="Times New Roman"/>
          <w:i/>
          <w:iCs/>
        </w:rPr>
        <w:t>Journal of Animal Ecology</w:t>
      </w:r>
      <w:r>
        <w:rPr>
          <w:rFonts w:cs="Times New Roman"/>
        </w:rPr>
        <w:t xml:space="preserve">, </w:t>
      </w:r>
      <w:r>
        <w:rPr>
          <w:rFonts w:cs="Times New Roman"/>
          <w:b/>
          <w:bCs/>
        </w:rPr>
        <w:t>81</w:t>
      </w:r>
      <w:r>
        <w:rPr>
          <w:rFonts w:cs="Times New Roman"/>
        </w:rPr>
        <w:t xml:space="preserve">, 1223–1232. </w:t>
      </w:r>
    </w:p>
    <w:p>
      <w:pPr>
        <w:pStyle w:val="Bibliography"/>
        <w:rPr>
          <w:rFonts w:cs="Times New Roman"/>
        </w:rPr>
      </w:pPr>
      <w:r>
        <w:rPr>
          <w:rFonts w:cs="Times New Roman"/>
        </w:rPr>
        <w:t xml:space="preserve">Wunder, M.B. &amp; Norris, D.R. (2008). Improved estimates of certainty in stable-isotope-based methods for tracking migratory animals. </w:t>
      </w:r>
      <w:r>
        <w:rPr>
          <w:rFonts w:cs="Times New Roman"/>
          <w:i/>
          <w:iCs/>
        </w:rPr>
        <w:t>Ecological Applications</w:t>
      </w:r>
      <w:r>
        <w:rPr>
          <w:rFonts w:cs="Times New Roman"/>
        </w:rPr>
        <w:t xml:space="preserve">, </w:t>
      </w:r>
      <w:r>
        <w:rPr>
          <w:rFonts w:cs="Times New Roman"/>
          <w:b/>
          <w:bCs/>
        </w:rPr>
        <w:t>18</w:t>
      </w:r>
      <w:r>
        <w:rPr>
          <w:rFonts w:cs="Times New Roman"/>
        </w:rPr>
        <w:t xml:space="preserve">, 549–559. </w:t>
      </w:r>
    </w:p>
    <w:p>
      <w:pPr>
        <w:pStyle w:val="Normal"/>
        <w:widowControl w:val="false"/>
        <w:spacing w:lineRule="auto" w:line="480"/>
        <w:rPr/>
      </w:pPr>
      <w:r>
        <w:rPr/>
      </w:r>
    </w:p>
    <w:sectPr>
      <w:footerReference w:type="default" r:id="rId32"/>
      <w:type w:val="nextPage"/>
      <w:pgSz w:w="12240" w:h="15840"/>
      <w:pgMar w:left="1440" w:right="1440" w:header="0" w:top="1080" w:footer="720" w:bottom="1008"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Lucida Grande">
    <w:charset w:val="01"/>
    <w:family w:val="roman"/>
    <w:pitch w:val="variable"/>
  </w:font>
  <w:font w:name="Liberation Sans">
    <w:altName w:val="Arial"/>
    <w:charset w:val="01"/>
    <w:family w:val="swiss"/>
    <w:pitch w:val="variable"/>
  </w:font>
  <w:font w:name="Symbo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r>
      <mc:AlternateContent>
        <mc:Choice Requires="wps">
          <w:drawing>
            <wp:anchor behindDoc="0" distT="0" distB="0" distL="0" distR="0" simplePos="0" locked="0" layoutInCell="1" allowOverlap="1" relativeHeight="34">
              <wp:simplePos x="0" y="0"/>
              <wp:positionH relativeFrom="margin">
                <wp:align>right</wp:align>
              </wp:positionH>
              <wp:positionV relativeFrom="paragraph">
                <wp:posOffset>635</wp:posOffset>
              </wp:positionV>
              <wp:extent cx="76835" cy="175260"/>
              <wp:effectExtent l="0" t="0" r="0" b="0"/>
              <wp:wrapSquare wrapText="largest"/>
              <wp:docPr id="1" name="Frame1"/>
              <a:graphic xmlns:a="http://schemas.openxmlformats.org/drawingml/2006/main">
                <a:graphicData uri="http://schemas.microsoft.com/office/word/2010/wordprocessingShape">
                  <wps:wsp>
                    <wps:cNvSpPr txBox="1"/>
                    <wps:spPr>
                      <a:xfrm>
                        <a:off x="0" y="0"/>
                        <a:ext cx="76835" cy="175260"/>
                      </a:xfrm>
                      <a:prstGeom prst="rect"/>
                      <a:solidFill>
                        <a:srgbClr val="FFFFFF">
                          <a:alpha val="0"/>
                        </a:srgbClr>
                      </a:solidFill>
                    </wps:spPr>
                    <wps:txbx>
                      <w:txbxContent>
                        <w:p>
                          <w:pPr>
                            <w:pStyle w:val="Footer"/>
                            <w:pBdr/>
                            <w:rPr/>
                          </w:pPr>
                          <w:r>
                            <w:rPr>
                              <w:rStyle w:val="Pagenumber"/>
                            </w:rPr>
                            <w:fldChar w:fldCharType="begin"/>
                          </w:r>
                          <w:r>
                            <w:instrText> PAGE </w:instrText>
                          </w:r>
                          <w:r>
                            <w:fldChar w:fldCharType="separate"/>
                          </w:r>
                          <w:r>
                            <w:t>1</w:t>
                          </w:r>
                          <w:r>
                            <w:fldChar w:fldCharType="end"/>
                          </w:r>
                        </w:p>
                      </w:txbxContent>
                    </wps:txbx>
                    <wps:bodyPr anchor="t" lIns="0" tIns="0" rIns="0" bIns="0">
                      <a:spAutoFit/>
                    </wps:bodyPr>
                  </wps:wsp>
                </a:graphicData>
              </a:graphic>
            </wp:anchor>
          </w:drawing>
        </mc:Choice>
        <mc:Fallback>
          <w:pict>
            <v:rect fillcolor="#FFFFFF" style="position:absolute;rotation:0;width:6.05pt;height:13.8pt;mso-wrap-distance-left:0pt;mso-wrap-distance-right:0pt;mso-wrap-distance-top:0pt;mso-wrap-distance-bottom:0pt;margin-top:0.05pt;mso-position-vertical-relative:text;margin-left:461.95pt;mso-position-horizontal:right;mso-position-horizontal-relative:margin">
              <v:fill opacity="0f"/>
              <v:textbox inset="0in,0in,0in,0in">
                <w:txbxContent>
                  <w:p>
                    <w:pPr>
                      <w:pStyle w:val="Footer"/>
                      <w:pBdr/>
                      <w:rPr/>
                    </w:pPr>
                    <w:r>
                      <w:rPr>
                        <w:rStyle w:val="Pagenumber"/>
                      </w:rPr>
                      <w:fldChar w:fldCharType="begin"/>
                    </w:r>
                    <w:r>
                      <w:instrText> PAGE </w:instrText>
                    </w:r>
                    <w:r>
                      <w:fldChar w:fldCharType="separate"/>
                    </w:r>
                    <w:r>
                      <w:t>1</w:t>
                    </w:r>
                    <w:r>
                      <w:fldChar w:fldCharType="end"/>
                    </w:r>
                  </w:p>
                </w:txbxContent>
              </v:textbox>
              <w10:wrap type="square" side="largest"/>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settings.xml><?xml version="1.0" encoding="utf-8"?>
<w:settings xmlns:w="http://schemas.openxmlformats.org/wordprocessingml/2006/main">
  <w:zoom w:percent="146"/>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4"/>
        <w:szCs w:val="24"/>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42567"/>
    <w:pPr>
      <w:widowControl/>
      <w:bidi w:val="0"/>
      <w:jc w:val="left"/>
    </w:pPr>
    <w:rPr>
      <w:rFonts w:ascii="Times New Roman" w:hAnsi="Times New Roman" w:eastAsia="ＭＳ 明朝" w:cs="" w:cstheme="minorBidi" w:eastAsiaTheme="minorEastAsia"/>
      <w:color w:val="auto"/>
      <w:sz w:val="24"/>
      <w:szCs w:val="24"/>
      <w:lang w:val="en-US"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ac2d0a"/>
    <w:rPr>
      <w:rFonts w:ascii="Lucida Grande" w:hAnsi="Lucida Grande" w:cs="Lucida Grande"/>
      <w:sz w:val="18"/>
      <w:szCs w:val="18"/>
    </w:rPr>
  </w:style>
  <w:style w:type="character" w:styleId="FooterChar" w:customStyle="1">
    <w:name w:val="Footer Char"/>
    <w:basedOn w:val="DefaultParagraphFont"/>
    <w:link w:val="Footer"/>
    <w:uiPriority w:val="99"/>
    <w:qFormat/>
    <w:rsid w:val="005b3f77"/>
    <w:rPr>
      <w:rFonts w:ascii="Times New Roman" w:hAnsi="Times New Roman"/>
    </w:rPr>
  </w:style>
  <w:style w:type="character" w:styleId="Pagenumber">
    <w:name w:val="page number"/>
    <w:basedOn w:val="DefaultParagraphFont"/>
    <w:uiPriority w:val="99"/>
    <w:semiHidden/>
    <w:unhideWhenUsed/>
    <w:qFormat/>
    <w:rsid w:val="005b3f77"/>
    <w:rPr/>
  </w:style>
  <w:style w:type="character" w:styleId="HeaderChar" w:customStyle="1">
    <w:name w:val="Header Char"/>
    <w:basedOn w:val="DefaultParagraphFont"/>
    <w:link w:val="Header"/>
    <w:uiPriority w:val="99"/>
    <w:qFormat/>
    <w:rsid w:val="005b3f77"/>
    <w:rPr>
      <w:rFonts w:ascii="Times New Roman" w:hAnsi="Times New Roman"/>
    </w:rPr>
  </w:style>
  <w:style w:type="paragraph" w:styleId="Heading">
    <w:name w:val="Heading"/>
    <w:basedOn w:val="Normal"/>
    <w:next w:val="TextBody"/>
    <w:qFormat/>
    <w:pPr>
      <w:keepNext/>
      <w:spacing w:before="240" w:after="120"/>
    </w:pPr>
    <w:rPr>
      <w:rFonts w:ascii="Liberation Sans" w:hAnsi="Liberation Sans" w:eastAsia="DejaVu Sans"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ibliography">
    <w:name w:val="Bibliography"/>
    <w:basedOn w:val="Normal"/>
    <w:next w:val="Normal"/>
    <w:uiPriority w:val="37"/>
    <w:unhideWhenUsed/>
    <w:qFormat/>
    <w:rsid w:val="00342567"/>
    <w:pPr>
      <w:spacing w:before="0" w:after="240"/>
      <w:ind w:left="720" w:hanging="720"/>
    </w:pPr>
    <w:rPr/>
  </w:style>
  <w:style w:type="paragraph" w:styleId="BalloonText">
    <w:name w:val="Balloon Text"/>
    <w:basedOn w:val="Normal"/>
    <w:link w:val="BalloonTextChar"/>
    <w:uiPriority w:val="99"/>
    <w:semiHidden/>
    <w:unhideWhenUsed/>
    <w:qFormat/>
    <w:rsid w:val="00ac2d0a"/>
    <w:pPr/>
    <w:rPr>
      <w:rFonts w:ascii="Lucida Grande" w:hAnsi="Lucida Grande" w:cs="Lucida Grande"/>
      <w:sz w:val="18"/>
      <w:szCs w:val="18"/>
    </w:rPr>
  </w:style>
  <w:style w:type="paragraph" w:styleId="Footer">
    <w:name w:val="Footer"/>
    <w:basedOn w:val="Normal"/>
    <w:link w:val="FooterChar"/>
    <w:uiPriority w:val="99"/>
    <w:unhideWhenUsed/>
    <w:rsid w:val="005b3f77"/>
    <w:pPr>
      <w:tabs>
        <w:tab w:val="center" w:pos="4320" w:leader="none"/>
        <w:tab w:val="right" w:pos="8640" w:leader="none"/>
      </w:tabs>
    </w:pPr>
    <w:rPr/>
  </w:style>
  <w:style w:type="paragraph" w:styleId="Header">
    <w:name w:val="Header"/>
    <w:basedOn w:val="Normal"/>
    <w:link w:val="HeaderChar"/>
    <w:uiPriority w:val="99"/>
    <w:unhideWhenUsed/>
    <w:rsid w:val="005b3f77"/>
    <w:pPr>
      <w:tabs>
        <w:tab w:val="center" w:pos="4320" w:leader="none"/>
        <w:tab w:val="right" w:pos="8640" w:leader="none"/>
      </w:tabs>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b001ed"/>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footer" Target="footer3.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48B840-A1CA-4046-AABB-6720BDE16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Application>LibreOffice/5.2.0.4$Linux_X86_64 LibreOffice_project/20m0$Build-4</Application>
  <Pages>12</Pages>
  <Words>2647</Words>
  <Characters>13758</Characters>
  <CharactersWithSpaces>15917</CharactersWithSpaces>
  <Paragraphs>553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2014-07-09T15:27:00Z</dcterms:created>
  <dc:creator>Hannah  </dc:creator>
  <dc:description/>
  <dc:language>en-US</dc:language>
  <cp:lastModifiedBy>Hannah  </cp:lastModifiedBy>
  <cp:lastPrinted>2014-07-29T16:14:00Z</cp:lastPrinted>
  <dcterms:modified xsi:type="dcterms:W3CDTF">2014-07-29T19:16:00Z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zotero-version="4.0.21.5"&gt;&lt;session id="9SKuRWmI"/&gt;&lt;style id="http://www.zotero.org/styles/methods-in-ecology-and-evolution" hasBibliography="1" bibliographyStyleHasBeenSet="1"/&gt;&lt;prefs&gt;&lt;pref name="fieldType" value="Field"/&gt;&lt;pref name</vt:lpwstr>
  </property>
  <property fmtid="{D5CDD505-2E9C-101B-9397-08002B2CF9AE}" pid="9" name="ZOTERO_PREF_2">
    <vt:lpwstr>="storeReferences" value="true"/&gt;&lt;pref name="automaticJournalAbbreviations" value="true"/&gt;&lt;pref name="noteType" value="0"/&gt;&lt;/prefs&gt;&lt;/data&gt;</vt:lpwstr>
  </property>
</Properties>
</file>